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4A0" w:rsidRPr="00A512F4" w:rsidRDefault="007D6049">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09.04.2026</w:t>
      </w:r>
    </w:p>
    <w:p w:rsidR="00B214A0" w:rsidRPr="00A512F4" w:rsidRDefault="007D6049">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17.04.2026</w:t>
      </w:r>
    </w:p>
    <w:p w:rsidR="00B214A0" w:rsidRPr="00A512F4" w:rsidRDefault="007D6049">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Medicine and Pharmacology. Author details, dates, funding, and research results are illustrative.</w:t>
      </w:r>
    </w:p>
    <w:p w:rsidR="00B214A0" w:rsidRPr="00A512F4" w:rsidRDefault="00B214A0">
      <w:pPr>
        <w:pStyle w:val="a3"/>
        <w:spacing w:before="0" w:beforeAutospacing="0" w:after="0" w:afterAutospacing="0" w:line="360" w:lineRule="auto"/>
        <w:ind w:firstLine="567"/>
        <w:jc w:val="right"/>
        <w:rPr>
          <w:lang w:val="en-US"/>
        </w:rPr>
      </w:pPr>
    </w:p>
    <w:p w:rsidR="00B214A0" w:rsidRPr="00A512F4" w:rsidRDefault="007D6049">
      <w:pPr>
        <w:pStyle w:val="a3"/>
        <w:spacing w:before="0" w:beforeAutospacing="0" w:after="0" w:afterAutospacing="0" w:line="360" w:lineRule="auto"/>
        <w:ind w:firstLine="567"/>
        <w:rPr>
          <w:lang w:val="en-US"/>
        </w:rPr>
      </w:pPr>
      <w:r>
        <w:rPr>
          <w:rStyle w:val="a4"/>
          <w:sz w:val="28"/>
          <w:szCs w:val="28"/>
        </w:rPr>
        <w:t xml:space="preserve">UDC 616.24</w:t>
      </w:r>
    </w:p>
    <w:p w:rsidR="00B214A0" w:rsidRPr="00A512F4" w:rsidRDefault="00B214A0">
      <w:pPr>
        <w:pStyle w:val="a3"/>
        <w:spacing w:before="0" w:beforeAutospacing="0" w:after="0" w:afterAutospacing="0" w:line="360" w:lineRule="auto"/>
        <w:ind w:firstLine="567"/>
        <w:jc w:val="center"/>
        <w:rPr>
          <w:lang w:val="en-US"/>
        </w:rPr>
      </w:pPr>
    </w:p>
    <w:p w:rsidR="00B214A0" w:rsidRPr="00A512F4" w:rsidRDefault="007D6049">
      <w:pPr>
        <w:pStyle w:val="a3"/>
        <w:spacing w:before="0" w:beforeAutospacing="0" w:after="0" w:afterAutospacing="0" w:line="360" w:lineRule="auto"/>
        <w:ind w:firstLine="567"/>
        <w:jc w:val="center"/>
        <w:rPr>
          <w:lang w:val="en-US"/>
        </w:rPr>
      </w:pPr>
      <w:r>
        <w:rPr>
          <w:rStyle w:val="a4"/>
          <w:sz w:val="28"/>
          <w:szCs w:val="28"/>
          <w:lang w:val="en-US"/>
        </w:rPr>
        <w:t xml:space="preserve">Comparative efficacy of antibiotic therapy for community-acquired pneumonia in patients over 60 years old</w:t>
      </w:r>
    </w:p>
    <w:p w:rsidR="00B214A0" w:rsidRPr="00A512F4" w:rsidRDefault="00B214A0">
      <w:pPr>
        <w:pStyle w:val="a3"/>
        <w:spacing w:before="0" w:beforeAutospacing="0" w:after="0" w:afterAutospacing="0" w:line="360" w:lineRule="auto"/>
        <w:ind w:firstLine="567"/>
        <w:jc w:val="both"/>
        <w:rPr>
          <w:lang w:val="en-US"/>
        </w:rPr>
      </w:pPr>
    </w:p>
    <w:p w:rsidR="00B214A0" w:rsidRPr="00A512F4" w:rsidRDefault="007D6049">
      <w:pPr>
        <w:pStyle w:val="a3"/>
        <w:spacing w:before="0" w:beforeAutospacing="0" w:after="0" w:afterAutospacing="0" w:line="360" w:lineRule="auto"/>
        <w:ind w:firstLine="567"/>
        <w:jc w:val="right"/>
        <w:rPr>
          <w:lang w:val="en-US"/>
        </w:rPr>
      </w:pPr>
      <w:proofErr w:type="spellStart"/>
      <w:r>
        <w:rPr>
          <w:b/>
          <w:i/>
          <w:sz w:val="28"/>
          <w:szCs w:val="28"/>
          <w:lang w:val="en-US"/>
        </w:rPr>
        <w:t>Sokolova</w:t>
      </w:r>
      <w:proofErr w:type="spellEnd"/>
      <w:r>
        <w:rPr>
          <w:b/>
          <w:i/>
          <w:sz w:val="28"/>
          <w:szCs w:val="28"/>
          <w:lang w:val="en-US"/>
        </w:rPr>
        <w:t xml:space="preserve"> Marina </w:t>
      </w:r>
      <w:proofErr w:type="spellStart"/>
      <w:r>
        <w:rPr>
          <w:b/>
          <w:i/>
          <w:sz w:val="28"/>
          <w:szCs w:val="28"/>
          <w:lang w:val="en-US"/>
        </w:rPr>
        <w:t>Aleksandrovna</w:t>
      </w:r>
      <w:proofErr w:type="spellEnd"/>
    </w:p>
    <w:p w:rsidR="00B214A0" w:rsidRPr="00A512F4" w:rsidRDefault="007D6049">
      <w:pPr>
        <w:pStyle w:val="a3"/>
        <w:spacing w:before="0" w:beforeAutospacing="0" w:after="0" w:afterAutospacing="0" w:line="360" w:lineRule="auto"/>
        <w:ind w:firstLine="567"/>
        <w:jc w:val="right"/>
        <w:rPr>
          <w:lang w:val="en-US"/>
        </w:rPr>
      </w:pPr>
      <w:r>
        <w:rPr>
          <w:i/>
          <w:sz w:val="28"/>
          <w:szCs w:val="28"/>
          <w:lang w:val="en-US"/>
        </w:rPr>
        <w:t>PhD in Medicine, Associate Professor,</w:t>
      </w:r>
    </w:p>
    <w:p w:rsidR="00B214A0" w:rsidRPr="00A512F4" w:rsidRDefault="007D6049">
      <w:pPr>
        <w:pStyle w:val="a3"/>
        <w:spacing w:before="0" w:beforeAutospacing="0" w:after="0" w:afterAutospacing="0" w:line="360" w:lineRule="auto"/>
        <w:ind w:firstLine="567"/>
        <w:jc w:val="right"/>
        <w:rPr>
          <w:lang w:val="en-US"/>
        </w:rPr>
      </w:pPr>
      <w:r>
        <w:rPr>
          <w:i/>
          <w:sz w:val="28"/>
          <w:szCs w:val="28"/>
          <w:lang w:val="en-US"/>
        </w:rPr>
        <w:t>Department of Therapy and Clinical Pharmacology, I.M. Sechenov First Moscow State Medical University,</w:t>
      </w:r>
    </w:p>
    <w:p w:rsidR="00B214A0" w:rsidRPr="00A512F4" w:rsidRDefault="007D6049">
      <w:pPr>
        <w:pStyle w:val="a3"/>
        <w:spacing w:before="0" w:beforeAutospacing="0" w:after="0" w:afterAutospacing="0" w:line="360" w:lineRule="auto"/>
        <w:ind w:firstLine="567"/>
        <w:jc w:val="right"/>
        <w:rPr>
          <w:lang w:val="en-US"/>
        </w:rPr>
      </w:pPr>
      <w:r>
        <w:rPr>
          <w:i/>
          <w:sz w:val="28"/>
          <w:szCs w:val="28"/>
          <w:lang w:val="en-US"/>
        </w:rPr>
        <w:t>Moscow, Russia</w:t>
      </w:r>
    </w:p>
    <w:p w:rsidR="00B214A0" w:rsidRPr="00A512F4" w:rsidRDefault="007D6049">
      <w:pPr>
        <w:pStyle w:val="a3"/>
        <w:spacing w:before="0" w:beforeAutospacing="0" w:after="0" w:afterAutospacing="0" w:line="360" w:lineRule="auto"/>
        <w:ind w:firstLine="567"/>
        <w:jc w:val="right"/>
        <w:rPr>
          <w:lang w:val="en-US"/>
        </w:rPr>
        <w:keepNext/>
        <w:keepLines/>
      </w:pPr>
      <w:r>
        <w:rPr>
          <w:i/>
          <w:sz w:val="28"/>
          <w:szCs w:val="28"/>
          <w:lang w:val="en-US"/>
        </w:rPr>
        <w:t>E</w:t>
      </w:r>
      <w:r w:rsidRPr="00A512F4">
        <w:rPr>
          <w:i/>
          <w:sz w:val="28"/>
          <w:szCs w:val="28"/>
          <w:lang w:val="en-US"/>
        </w:rPr>
        <w:t>-</w:t>
      </w:r>
      <w:r>
        <w:rPr>
          <w:i/>
          <w:sz w:val="28"/>
          <w:szCs w:val="28"/>
          <w:lang w:val="en-US"/>
        </w:rPr>
        <w:t>mail: sokolova@mail.ru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B214A0" w:rsidRPr="00A512F4" w:rsidRDefault="00B214A0">
      <w:pPr>
        <w:pStyle w:val="a3"/>
        <w:spacing w:before="0" w:beforeAutospacing="0" w:after="0" w:afterAutospacing="0" w:line="360" w:lineRule="auto"/>
        <w:ind w:firstLine="567"/>
        <w:jc w:val="both"/>
        <w:rPr>
          <w:lang w:val="en-US"/>
        </w:rPr>
      </w:pPr>
    </w:p>
    <w:p w:rsidR="00B214A0" w:rsidRDefault="007D6049">
      <w:pPr>
        <w:pStyle w:val="a3"/>
        <w:spacing w:before="0" w:beforeAutospacing="0" w:after="0" w:afterAutospacing="0" w:line="360" w:lineRule="auto"/>
        <w:ind w:firstLine="567"/>
        <w:jc w:val="center"/>
      </w:pPr>
      <w:r>
        <w:rPr>
          <w:rStyle w:val="a4"/>
          <w:sz w:val="28"/>
          <w:szCs w:val="28"/>
        </w:rPr>
        <w:t xml:space="preserve">Сравнительная эффективность антибактериальной терапии при внебольничной пневмонии у пациентов старше 60 лет</w:t>
      </w:r>
    </w:p>
    <w:p w:rsidR="00B214A0" w:rsidRDefault="00B214A0">
      <w:pPr>
        <w:pStyle w:val="a3"/>
        <w:spacing w:before="0" w:beforeAutospacing="0" w:after="0" w:afterAutospacing="0" w:line="360" w:lineRule="auto"/>
        <w:ind w:firstLine="567"/>
        <w:jc w:val="center"/>
      </w:pPr>
    </w:p>
    <w:p w:rsidR="00B214A0" w:rsidRDefault="007D6049">
      <w:pPr>
        <w:pStyle w:val="a3"/>
        <w:spacing w:before="0" w:beforeAutospacing="0" w:after="0" w:afterAutospacing="0" w:line="360" w:lineRule="auto"/>
        <w:ind w:firstLine="567"/>
        <w:jc w:val="right"/>
      </w:pPr>
      <w:r>
        <w:rPr>
          <w:b/>
          <w:i/>
          <w:sz w:val="28"/>
          <w:szCs w:val="28"/>
        </w:rPr>
        <w:t>Соко</w:t>
      </w:r>
      <w:r>
        <w:rPr>
          <w:b/>
          <w:i/>
          <w:sz w:val="28"/>
          <w:szCs w:val="28"/>
        </w:rPr>
        <w:t>лова Марина Александровна</w:t>
      </w:r>
    </w:p>
    <w:p w:rsidR="00B214A0" w:rsidRDefault="007D6049">
      <w:pPr>
        <w:pStyle w:val="a3"/>
        <w:spacing w:before="0" w:beforeAutospacing="0" w:after="0" w:afterAutospacing="0" w:line="360" w:lineRule="auto"/>
        <w:ind w:firstLine="567"/>
        <w:jc w:val="right"/>
      </w:pPr>
      <w:r>
        <w:rPr>
          <w:i/>
          <w:sz w:val="28"/>
          <w:szCs w:val="28"/>
        </w:rPr>
        <w:t>канд. мед. наук, доцент,</w:t>
      </w:r>
    </w:p>
    <w:p w:rsidR="00B214A0" w:rsidRDefault="007D6049">
      <w:pPr>
        <w:pStyle w:val="a3"/>
        <w:spacing w:before="0" w:beforeAutospacing="0" w:after="0" w:afterAutospacing="0" w:line="360" w:lineRule="auto"/>
        <w:ind w:firstLine="567"/>
        <w:jc w:val="right"/>
      </w:pPr>
      <w:r>
        <w:rPr>
          <w:i/>
          <w:sz w:val="28"/>
          <w:szCs w:val="28"/>
        </w:rPr>
        <w:t>кафедра терапии и клинической фармакологии, ФГБОУ ВО Первый МГМУ им. И.М. Сеченова,</w:t>
      </w:r>
    </w:p>
    <w:p w:rsidR="00B214A0" w:rsidRDefault="007D6049">
      <w:pPr>
        <w:pStyle w:val="a3"/>
        <w:spacing w:before="0" w:beforeAutospacing="0" w:after="0" w:afterAutospacing="0" w:line="360" w:lineRule="auto"/>
        <w:ind w:firstLine="567"/>
        <w:jc w:val="right"/>
      </w:pPr>
      <w:r>
        <w:rPr>
          <w:i/>
          <w:sz w:val="28"/>
          <w:szCs w:val="28"/>
        </w:rPr>
        <w:t>Москва, Россия</w:t>
      </w:r>
    </w:p>
    <w:p w:rsidR="00B214A0" w:rsidRDefault="007D6049">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A512F4">
        <w:rPr>
          <w:i/>
          <w:sz w:val="28"/>
          <w:szCs w:val="28"/>
        </w:rPr>
        <w:t xml:space="preserve">: </w:t>
      </w:r>
      <w:proofErr w:type="spellStart"/>
      <w:r>
        <w:rPr>
          <w:i/>
          <w:sz w:val="28"/>
          <w:szCs w:val="28"/>
          <w:lang w:val="en-US"/>
        </w:rPr>
        <w:t>sokolova</w:t>
      </w:r>
      <w:proofErr w:type="spellEnd"/>
      <w:r w:rsidRPr="00A512F4">
        <w:rPr>
          <w:i/>
          <w:sz w:val="28"/>
          <w:szCs w:val="28"/>
        </w:rPr>
        <w:t>@</w:t>
      </w:r>
      <w:r>
        <w:rPr>
          <w:i/>
          <w:sz w:val="28"/>
          <w:szCs w:val="28"/>
          <w:lang w:val="en-US"/>
        </w:rPr>
        <w:t>mail</w:t>
      </w:r>
      <w:r w:rsidRPr="00A512F4">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B214A0" w:rsidRDefault="00B214A0">
      <w:pPr>
        <w:pStyle w:val="a3"/>
        <w:spacing w:before="0" w:beforeAutospacing="0" w:after="0" w:afterAutospacing="0" w:line="360" w:lineRule="auto"/>
        <w:ind w:firstLine="567"/>
        <w:jc w:val="right"/>
      </w:pPr>
    </w:p>
    <w:p w:rsidR="00B214A0" w:rsidRDefault="007D6049">
      <w:pPr>
        <w:pStyle w:val="a3"/>
        <w:spacing w:before="0" w:beforeAutospacing="0" w:after="0" w:afterAutospacing="0" w:line="360" w:lineRule="auto"/>
        <w:ind w:firstLine="567"/>
        <w:keepNext/>
        <w:keepLines/>
      </w:pPr>
      <w:r>
        <w:rPr>
          <w:rStyle w:val="a4"/>
          <w:sz w:val="28"/>
          <w:szCs w:val="28"/>
          <w:lang w:val="en-US"/>
        </w:rPr>
        <w:t>Abstract</w:t>
      </w:r>
    </w:p>
    <w:p w:rsidR="00B214A0" w:rsidRPr="00A512F4" w:rsidRDefault="007D6049">
      <w:pPr>
        <w:pStyle w:val="a3"/>
        <w:spacing w:before="0" w:beforeAutospacing="0" w:after="0" w:afterAutospacing="0" w:line="360" w:lineRule="auto"/>
        <w:ind w:firstLine="567"/>
        <w:jc w:val="both"/>
        <w:rPr>
          <w:lang w:val="en-US"/>
        </w:rPr>
      </w:pPr>
      <w:r>
        <w:rPr>
          <w:sz w:val="28"/>
          <w:szCs w:val="28"/>
          <w:lang w:val="en-US"/>
        </w:rPr>
        <w:t xml:space="preserve">Community-acquired pneumonia in elderly patients is characterized by an atypical clinical course, a high risk of complications, and pathogen resistance to standard treatment regimens; this underscores the critical need to identify optimal therapeutic approaches for this age group. The objective of this study was to comparatively evaluate the clinical efficacy of amoxicillin/clavulanate monotherapy versus a combination regimen including azithromycin in hospitalized patients over the age of 60 with moderate-severity community-acquired pneumonia. The prospective cohort study enrolled 84 patients (42 in each group). The study assessed the dynamics of clinical symptoms, the time required for the normalization of body temperature and laboratory parameters, the total duration of hospitalization, and the incidence of adverse events. The combination regimen resulted in a significantly faster normalization of body temperature (1.8 days sooner; p &lt; 0.05) and a reduction in the duration of hospitalization by an average of 2.3 days. The incidence of adverse events did not differ statistically between the groups. These results support the advisability of more widespread use of combination regimens in elderly patients with community-acquired pneumonia. The analysis focuses on clinical recovery and treatment tolerability, as both outcomes are relevant when comparing approaches in older patients. The observed symptom dynamics are considered alongside the duration of inpatient care. Interpretation is limited by the sample size and selected endpoints. Additional research is required to assess longer-term outcomes; these findings alone do not replace individual clinical decision-making.</w:t>
      </w:r>
    </w:p>
    <w:p w:rsidR="00B214A0" w:rsidRPr="00A512F4" w:rsidRDefault="00B214A0">
      <w:pPr>
        <w:pStyle w:val="a3"/>
        <w:spacing w:before="0" w:beforeAutospacing="0" w:after="0" w:afterAutospacing="0" w:line="360" w:lineRule="auto"/>
        <w:ind w:firstLine="567"/>
        <w:jc w:val="both"/>
        <w:rPr>
          <w:lang w:val="en-US"/>
        </w:rPr>
      </w:pPr>
    </w:p>
    <w:p w:rsidR="00B214A0" w:rsidRDefault="007D6049">
      <w:pPr>
        <w:pStyle w:val="a3"/>
        <w:spacing w:before="0" w:beforeAutospacing="0" w:after="0" w:afterAutospacing="0" w:line="360" w:lineRule="auto"/>
        <w:ind w:firstLine="567"/>
        <w:keepNext/>
        <w:keepLines/>
      </w:pPr>
      <w:r>
        <w:rPr>
          <w:rStyle w:val="a4"/>
          <w:sz w:val="28"/>
          <w:szCs w:val="28"/>
        </w:rPr>
        <w:t>Аннотация</w:t>
      </w:r>
    </w:p>
    <w:p w:rsidR="00B214A0" w:rsidRDefault="00A512F4">
      <w:pPr>
        <w:pStyle w:val="a3"/>
        <w:spacing w:before="0" w:beforeAutospacing="0" w:after="0" w:afterAutospacing="0" w:line="360" w:lineRule="auto"/>
        <w:ind w:firstLine="567"/>
        <w:jc w:val="both"/>
      </w:pPr>
      <w:r>
        <w:rPr>
          <w:sz w:val="28"/>
          <w:szCs w:val="28"/>
        </w:rPr>
        <w:t xml:space="preserve">Внебольничная пневмония у пожилых пациентов характеризуется атипичным течением, высоким риском осложнений и резистентностью возбудителей к стандартным схемам лечения, что определяет актуальность поиска оптимальных терапевтических подходов в данной возрастной группе. Цель исследования — сравнительная оценка клинической эффективности монотерапии амоксициллином/клавуланатом и комбинированной схемы с азитромицином у госпитализированных пациентов старше 60 лет с внебольничной пневмонией средней степени тяжести. В проспективное когортное исследование включены 84 пациента (по 42 в каждой группе). Оценивались динамика клинических симптомов, сроки нормализации температуры тела и лабораторных показателей, общая длительность госпитализации и частота нежелательных явлений. Комбинированная схема обеспечивала достоверно более быструю нормализацию температуры (на 1,8 сут быстрее, p &lt; 0,05) и сокращение сроков госпитализации в среднем на 2,3 дня. Частота нежелательных явлений в группах статистически не различалась. Результаты обосновывают целесообразность более широкого применения комбинированных схем у пожилых пациентов с внебольничной пневмонией. В центре анализа находятся скорость клинического восстановления и переносимость лечения, поскольку оба показателя важны для оценки выбранного подхода у пожилых пациентов. Сопоставление результатов позволяет связать наблюдаемую динамику симптомов с продолжительностью стационарного лечения. Интерпретация полученных различий ограничена объёмом выборки и выбранными конечными точками. Для оценки отдалённых исходов необходимы дополнительные исследования; представленные результаты сами по себе не заменяют индивидуального клинического решения.</w:t>
      </w:r>
    </w:p>
    <w:p w:rsidR="00B214A0" w:rsidRPr="00A512F4" w:rsidRDefault="007D6049">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community-acquired pneumonia, antibiotic therapy, elderly patients, amoxicillin/clavulanate, azithromycin, clinical efficacy.</w:t>
      </w:r>
    </w:p>
    <w:p w:rsidR="00B214A0" w:rsidRDefault="007D6049">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внебольничная пневмония, антибактериальная терапия, пожилые пациенты, амоксициллин/клавуланат, азитромицин, клиническая эффективность.</w:t>
      </w:r>
    </w:p>
    <w:p w:rsidR="00B214A0" w:rsidRDefault="00B214A0">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a grant from the President of the Russian Federation for young candidates of science, No. MK-2145.2026.3.</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поддержке гранта Президента Российской Федерации для молодых учёных — кандидатов наук, № МК-2145.2026.3.</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B214A0" w:rsidRPr="00A512F4" w:rsidRDefault="007D6049">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B214A0" w:rsidRPr="00A512F4" w:rsidRDefault="007D6049">
      <w:pPr>
        <w:pStyle w:val="a3"/>
        <w:spacing w:before="0" w:beforeAutospacing="0" w:after="0" w:afterAutospacing="0" w:line="360" w:lineRule="auto"/>
        <w:ind w:firstLine="567"/>
        <w:jc w:val="both"/>
        <w:rPr>
          <w:lang w:val="en-US"/>
        </w:rPr>
      </w:pPr>
      <w:r>
        <w:rPr>
          <w:sz w:val="28"/>
          <w:szCs w:val="28"/>
          <w:lang w:val="en-US"/>
        </w:rPr>
        <w:t xml:space="preserve">Community-acquired pneumonia in older patients requires consideration of age, comorbidities, and clinical presentation [1, 6, 8, 9]. Treatment selection and severity assessment are addressed in clinical guidelines and studies of hospitalised patients [2, 3, 7]. Beta-lactam monotherapy and beta-lactam–macrolide combinations have been compared in clinical trials and a systematic review [4, 5, 10]. This educational example demonstrates the presentation of a comparison between two treatment regimens in patients over 60 using the illustrative data retained from the original example.</w:t>
      </w:r>
    </w:p>
    <w:p w:rsidR="00B214A0" w:rsidRPr="00A512F4" w:rsidRDefault="00B214A0">
      <w:pPr>
        <w:pStyle w:val="a3"/>
        <w:spacing w:before="0" w:beforeAutospacing="0" w:after="0" w:afterAutospacing="0" w:line="360" w:lineRule="auto"/>
        <w:ind w:firstLine="567"/>
        <w:jc w:val="both"/>
        <w:rPr>
          <w:lang w:val="en-US"/>
        </w:rPr>
      </w:pPr>
    </w:p>
    <w:p w:rsidR="00B214A0" w:rsidRPr="00A512F4" w:rsidRDefault="007D6049">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B214A0" w:rsidRPr="00A512F4" w:rsidRDefault="007D6049">
      <w:pPr>
        <w:pStyle w:val="a3"/>
        <w:spacing w:before="0" w:beforeAutospacing="0" w:after="0" w:afterAutospacing="0" w:line="360" w:lineRule="auto"/>
        <w:ind w:firstLine="567"/>
        <w:jc w:val="both"/>
        <w:rPr>
          <w:lang w:val="en-US"/>
        </w:rPr>
      </w:pPr>
      <w:r>
        <w:rPr>
          <w:sz w:val="28"/>
          <w:szCs w:val="28"/>
          <w:lang w:val="en-US"/>
        </w:rPr>
        <w:t xml:space="preserve">Patients hospitalised in the therapeutic department of City Clinical Hospital No. 52, Moscow (January 2022 — December 2023) with a CAP diagnosis were consecutively enrolled. Inclusion criteria: age &gt; 60 years, radiologically confirmed pneumonia, PORT/PSI class II–III, and informed consent. Exclusion criteria: severe decompensated comorbidity, allergy to penicillins or macrolides, antibiotic use within 30 days prior to admission, and immunodeficiency. Patients were randomly assigned to two groups: Group 1 (n = 42) — amoxicillin/clavulanate 1000/125 mg IV three times daily; Group 2 (n = 42) — same regimen plus azithromycin 500 mg IV once daily for the first 3 days, then oral. Duration: 7–10 days according to clinical dynamics. Endpoints: time to temperature normalisation (&lt; 37.2 °C), leucocyte normalisation, total hospitalisation duration, and adverse event rate. Statistical analysis used SPSS Statistics 26.0; Mann-Whitney and chi-square tests were applied. Significance threshold: p &lt; 0.05.</w:t>
      </w:r>
    </w:p>
    <w:p w:rsidR="00B214A0" w:rsidRPr="00A512F4" w:rsidRDefault="00B214A0">
      <w:pPr>
        <w:pStyle w:val="a3"/>
        <w:spacing w:before="0" w:beforeAutospacing="0" w:after="0" w:afterAutospacing="0" w:line="360" w:lineRule="auto"/>
        <w:ind w:firstLine="567"/>
        <w:jc w:val="both"/>
        <w:rPr>
          <w:lang w:val="en-US"/>
        </w:rPr>
      </w:pPr>
    </w:p>
    <w:p w:rsidR="00B214A0" w:rsidRPr="00A512F4" w:rsidRDefault="007D6049">
      <w:pPr>
        <w:pStyle w:val="a3"/>
        <w:spacing w:before="0" w:beforeAutospacing="0" w:after="0" w:afterAutospacing="0" w:line="360" w:lineRule="auto"/>
        <w:ind w:firstLine="567"/>
        <w:jc w:val="both"/>
        <w:rPr>
          <w:lang w:val="en-US"/>
        </w:rPr>
        <w:keepNext/>
        <w:keepLines/>
      </w:pPr>
      <w:r>
        <w:rPr>
          <w:b/>
          <w:sz w:val="28"/>
          <w:szCs w:val="28"/>
          <w:lang w:val="en-US"/>
        </w:rPr>
        <w:t>Results and discussion</w:t>
      </w:r>
    </w:p>
    <w:p w:rsidR="00B214A0" w:rsidRPr="00A512F4" w:rsidRDefault="007D6049">
      <w:pPr>
        <w:pStyle w:val="a3"/>
        <w:spacing w:before="0" w:beforeAutospacing="0" w:after="0" w:afterAutospacing="0" w:line="360" w:lineRule="auto"/>
        <w:ind w:firstLine="567"/>
        <w:jc w:val="both"/>
        <w:rPr>
          <w:lang w:val="en-US"/>
        </w:rPr>
      </w:pPr>
      <w:r>
        <w:rPr>
          <w:sz w:val="28"/>
          <w:szCs w:val="28"/>
          <w:lang w:val="en-US"/>
        </w:rPr>
        <w:t xml:space="preserve">Baseline clinical and demographic characteristics did not differ between groups: mean age 68.3 ± 5.7 (Group 1) vs 67.9 ± 6.1 years (Group 2) (p = 0.74). Proportion with type 2 diabetes: 28.6% and 31.0%; with COPD: 21.4% and 23.8%. Time to temperature normalisation: 2.4 ± 0.8 vs 4.2 ± 1.1 days (p = 0.003). Hospitalisation duration: 8.7 ± 1.9 vs 11.0 ± 2.3 days (p = 0.001). Leucocyte normalisation: day 4.1 ± 1.2 vs 5.8 ± 1.6 (p = 0.002). Adverse event rates: 9.5% (Group 1, predominantly diarrhoea) vs 11.9% (Group 2, diarrhoea and minor arrhythmias); difference not significant (p = 0.68). No therapy discontinuation was recorded. Figure 1 presents the main comparative values. Table 1 summarises key clinical outcomes.</w:t>
      </w:r>
    </w:p>
    <w:p w:rsidR="00A512F4" w:rsidRPr="00B37E38" w:rsidRDefault="00A512F4" w:rsidP="00A512F4">
      <w:pPr>
        <w:pStyle w:val="a3"/>
        <w:spacing w:before="0" w:beforeAutospacing="0" w:after="0" w:afterAutospacing="0" w:line="360" w:lineRule="auto"/>
        <w:ind w:firstLine="567"/>
        <w:jc w:val="both"/>
        <w:rPr>
          <w:lang w:val="en-US"/>
        </w:rPr>
      </w:pPr>
    </w:p>
    <w:p w:rsidR="00B214A0" w:rsidRPr="00A512F4" w:rsidRDefault="00A512F4" w:rsidP="00A512F4">
      <w:pPr>
        <w:pStyle w:val="a3"/>
        <w:spacing w:after="0" w:line="360" w:lineRule="auto"/>
        <w:ind w:firstLine="0"/>
        <w:jc w:val="center"/>
        <w:rPr>
          <w:b/>
          <w:i/>
          <w:sz w:val="28"/>
          <w:szCs w:val="28"/>
        </w:rPr>
        <w:keepNext/>
      </w:pPr>
      <w:r>
        <w:rPr>
          <w:noProof/>
        </w:rPr>
        <w:drawing>
          <wp:inline distT="0" distB="0" distL="0" distR="0" wp14:anchorId="14DFF41E" wp14:editId="6EA4D2ED">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Start w:id="0" w:name="_GoBack"/>
      <w:bookmarkEnd w:id="0"/>
    </w:p>
    <w:p w:rsidR="00B214A0" w:rsidRPr="00A512F4" w:rsidRDefault="007D6049">
      <w:pPr>
        <w:pStyle w:val="a3"/>
        <w:spacing w:after="0" w:line="360" w:lineRule="auto"/>
        <w:ind w:firstLine="0"/>
        <w:jc w:val="center"/>
        <w:rPr>
          <w:lang w:val="en-US"/>
        </w:rPr>
        <w:keepLines/>
      </w:pPr>
      <w:r>
        <w:rPr>
          <w:b/>
          <w:i/>
          <w:sz w:val="28"/>
          <w:szCs w:val="28"/>
          <w:lang w:val="en-US"/>
        </w:rPr>
        <w:t xml:space="preserve">Figure 1. Time to temperature normalisation in the two groups</w:t>
      </w:r>
    </w:p>
    <w:p w:rsidR="00B214A0" w:rsidRPr="00A512F4" w:rsidRDefault="00B214A0">
      <w:pPr>
        <w:pStyle w:val="a3"/>
        <w:spacing w:before="0" w:beforeAutospacing="0" w:after="0" w:afterAutospacing="0" w:line="360" w:lineRule="auto"/>
        <w:ind w:firstLine="567"/>
        <w:jc w:val="center"/>
        <w:rPr>
          <w:lang w:val="en-US"/>
        </w:rPr>
      </w:pPr>
    </w:p>
    <w:p w:rsidR="00B214A0" w:rsidRPr="00A512F4" w:rsidRDefault="007D6049">
      <w:pPr>
        <w:pStyle w:val="a3"/>
        <w:spacing w:before="0" w:beforeAutospacing="0" w:after="0" w:afterAutospacing="0" w:line="360" w:lineRule="auto"/>
        <w:ind w:firstLine="0"/>
        <w:jc w:val="center"/>
        <w:rPr>
          <w:lang w:val="en-US"/>
        </w:rPr>
        <w:keepLines/>
        <w:keepNext/>
      </w:pPr>
      <w:r>
        <w:rPr>
          <w:b/>
          <w:i/>
          <w:sz w:val="28"/>
          <w:szCs w:val="28"/>
          <w:lang w:val="en-US"/>
        </w:rPr>
        <w:t xml:space="preserve">Table 1. Key clinical outcomes by treatment group</w:t>
      </w:r>
    </w:p>
    <w:tbl>
      <w:tblPr>
        <w:tblStyle w:val="ad"/>
        <w:tblW w:w="0" w:type="auto"/>
        <w:tblLook w:val="04A0" w:firstRow="1" w:lastRow="0" w:firstColumn="1" w:lastColumn="0" w:noHBand="0" w:noVBand="1"/>
      </w:tblPr>
      <w:tblGrid>
        <w:gridCol w:w="3284"/>
        <w:gridCol w:w="3285"/>
        <w:gridCol w:w="3285"/>
      </w:tblGrid>
      <w:tr w:rsidR="00B214A0">
        <w:trPr>
          <w:cantSplit/>
          <w:tblHeader/>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Outcome</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Group 1 (monotherapy)</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Group 2 (combination)</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Temperature normalisation (days)</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4.2 ± 1.1</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2.4 ± 0</w:t>
            </w:r>
            <w:r>
              <w:rPr>
                <w:sz w:val="24"/>
                <w:szCs w:val="24"/>
                <w:lang w:val="en-US"/>
              </w:rPr>
              <w:t>.8*</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Leucocyte normalisation (day)</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5.8 ± 1.6</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4.1 ± 1.2*</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Hospitalisation duration (days)</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11.0 ± 2.3</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8.7 ± 1.9*</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Adverse events (%)</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9.5</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11.9 (ns)</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 p &lt; 0.05; ** p &lt; 0.01; *** p &lt; 0.001; ns = not significant. Data from the educational example.</w:t>
      </w:r>
    </w:p>
    <w:p w:rsidR="00B214A0" w:rsidRDefault="007D6049">
      <w:pPr>
        <w:pStyle w:val="a3"/>
        <w:spacing w:before="160" w:beforeAutospacing="0" w:after="0" w:afterAutospacing="0" w:line="360" w:lineRule="auto"/>
        <w:ind w:firstLine="567"/>
        <w:jc w:val="both"/>
        <w:keepNext/>
        <w:keepLines/>
      </w:pPr>
      <w:r>
        <w:rPr>
          <w:b/>
          <w:sz w:val="28"/>
          <w:szCs w:val="28"/>
          <w:lang w:val="en-US"/>
        </w:rPr>
        <w:t>Conclusion</w:t>
      </w:r>
    </w:p>
    <w:p w:rsidR="00B214A0" w:rsidRPr="00A512F4" w:rsidRDefault="007D6049">
      <w:pPr>
        <w:pStyle w:val="a3"/>
        <w:spacing w:before="0" w:beforeAutospacing="0" w:after="0" w:afterAutospacing="0" w:line="360" w:lineRule="auto"/>
        <w:ind w:firstLine="567"/>
        <w:jc w:val="both"/>
        <w:rPr>
          <w:lang w:val="en-US"/>
        </w:rPr>
      </w:pPr>
      <w:r>
        <w:rPr>
          <w:sz w:val="28"/>
          <w:szCs w:val="28"/>
          <w:lang w:val="en-US"/>
        </w:rPr>
        <w:t>Combination antibiotic therapy with amoxicillin/clavulanate and azithromycin provides significantly faster clinical recovery and shorter hospitalisation in patients over 60 with moderate CAP compared with monotherapy. Tolerability of both regimens is compa</w:t>
      </w:r>
      <w:r>
        <w:rPr>
          <w:sz w:val="28"/>
          <w:szCs w:val="28"/>
          <w:lang w:val="en-US"/>
        </w:rPr>
        <w:t>rable. The results support the rationale for wider adoption of combination regimens in elderly CAP management. Future research should investigate the impact of this approach on 30-day mortality and readmission rates.</w:t>
      </w:r>
    </w:p>
    <w:p w:rsidR="00B214A0" w:rsidRPr="00A512F4" w:rsidRDefault="00B214A0">
      <w:pPr>
        <w:pStyle w:val="a3"/>
        <w:spacing w:before="0" w:beforeAutospacing="0" w:after="0" w:afterAutospacing="0" w:line="360" w:lineRule="auto"/>
        <w:ind w:firstLine="567"/>
        <w:jc w:val="both"/>
        <w:rPr>
          <w:lang w:val="en-US"/>
        </w:rPr>
      </w:pPr>
    </w:p>
    <w:p w:rsidR="00B214A0" w:rsidRDefault="007D6049">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Metlay J.P., Waterer G.W., Long A.C., Anzueto A. et al. Diagnosis and Treatment of Adults with Community-acquired Pneumonia. An Official Clinical Practice Guideline of the American Thoracic Society and Infectious Diseases Society of America // American Journal of Respiratory and Critical Care Medicine. – 2019. – Vol. 200. – No. 7. – pp. e45–e67. – DOI: 10.1164/rccm.201908-1581st.</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Fine M.J., Auble T.E., Yealy D.M., Hanusa B.H. et al. A Prediction Rule to Identify Low-Risk Patients with Community-Acquired Pneumonia // New England Journal of Medicine. – 1997. – Vol. 336. – No. 4. – pp. 243–250. – DOI: 10.1056/nejm199701233360402.</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Lim W.S., Baudouin S.V., George R.C., Hill A.T. et al. BTS guidelines for the management of community acquired pneumonia in adults: update 2009 // Thorax. – 2009. – Vol. 64. – No. Suppl 3. – pp. iii1–iii55. – DOI: 10.1136/thx.2009.121434.</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Postma D.F., van Werkhoven C.H., van Elden L.J.R., Thijsen S.F.T. et al. Antibiotic Treatment Strategies for Community-Acquired Pneumonia in Adults // New England Journal of Medicine. – 2015. – Vol. 372. – No. 14. – pp. 1312–1323. – DOI: 10.1056/nejmoa1406330.</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Garin N., Genné D., Carballo S., Chuard C. et al. β-Lactam Monotherapy vs β-Lactam–Macrolide Combination Treatment in Moderately Severe Community-Acquired Pneumonia // JAMA Internal Medicine. – 2014. – Vol. 174. – No. 12. – pp. 1894–1901. – DOI: 10.1001/jamainternmed.2014.4887.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Prina E., Ranzani O.T., Torres A. Community-acquired pneumonia // The Lancet. – 2015. – Vol. 386. – No. 9998. – pp. 1097–1108. – DOI: 10.1016/s0140-6736(15)60733-4.</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Jain S., Self W.H., Wunderink R.G., Fakhran S. et al. Community-Acquired Pneumonia Requiring Hospitalization among U.S. Adults // New England Journal of Medicine. – 2015. – Vol. 373. – No. 5. – pp. 415–427. – DOI: 10.1056/nejmoa1500245.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Mandell L.A. Community-acquired pneumonia: An overview // Postgraduate Medicine. – 2015. – Vol. 127. – No. 6. – pp. 607–615. – DOI: 10.1080/00325481.2015.1074030.</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Simonetti A.F., Viasus D., Garcia-Vidal C., Carratalà J. Management of community-acquired pneumonia in older adults // Therapeutic Advances in Infectious Disease. – 2014. – Vol. 2. – No. 1. – pp. 3–16. – DOI: 10.1177/2049936113518041.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Asadi L., Sligl W.I., Eurich D.T., Colmers I.N. et al. Macrolide-Based Regimens and Mortality in Hospitalized Patients With Community-Acquired Pneumonia: A Systematic Review and Meta-analysis // Clinical Infectious Diseases. – 2012. – Vol. 55. – No. 3. – pp. 371–380. – DOI: 10.1093/cid/cis414.</w:t>
      </w:r>
    </w:p>
    <w:sectPr w:rsidR="00B214A0" w:rsidRPr="00A512F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049" w:rsidRDefault="007D6049" w:rsidP="0072153F">
      <w:pPr>
        <w:spacing w:after="0" w:line="240" w:lineRule="auto"/>
      </w:pPr>
      <w:r>
        <w:separator/>
      </w:r>
    </w:p>
  </w:endnote>
  <w:endnote w:type="continuationSeparator" w:id="0">
    <w:p w:rsidR="007D6049" w:rsidRDefault="007D6049"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049" w:rsidRDefault="007D6049" w:rsidP="0072153F">
      <w:pPr>
        <w:spacing w:after="0" w:line="240" w:lineRule="auto"/>
      </w:pPr>
      <w:r>
        <w:separator/>
      </w:r>
    </w:p>
  </w:footnote>
  <w:footnote w:type="continuationSeparator" w:id="0">
    <w:p w:rsidR="007D6049" w:rsidRDefault="007D6049"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A7699"/>
    <w:rsid w:val="002201D7"/>
    <w:rsid w:val="00221F0D"/>
    <w:rsid w:val="00256BD5"/>
    <w:rsid w:val="002643AF"/>
    <w:rsid w:val="00273340"/>
    <w:rsid w:val="00287C4F"/>
    <w:rsid w:val="002D245D"/>
    <w:rsid w:val="002D6583"/>
    <w:rsid w:val="00312244"/>
    <w:rsid w:val="003408B7"/>
    <w:rsid w:val="003647DE"/>
    <w:rsid w:val="003E170A"/>
    <w:rsid w:val="003E5264"/>
    <w:rsid w:val="003F64A7"/>
    <w:rsid w:val="004470FA"/>
    <w:rsid w:val="00495577"/>
    <w:rsid w:val="00533893"/>
    <w:rsid w:val="005414AB"/>
    <w:rsid w:val="00550EF4"/>
    <w:rsid w:val="00553E19"/>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D6049"/>
    <w:rsid w:val="007E0BFE"/>
    <w:rsid w:val="007F0AEB"/>
    <w:rsid w:val="008202D6"/>
    <w:rsid w:val="0085057A"/>
    <w:rsid w:val="00850A2E"/>
    <w:rsid w:val="008946B6"/>
    <w:rsid w:val="008D1FC2"/>
    <w:rsid w:val="008D64B4"/>
    <w:rsid w:val="00922A1B"/>
    <w:rsid w:val="00946981"/>
    <w:rsid w:val="009523FF"/>
    <w:rsid w:val="009B7733"/>
    <w:rsid w:val="009C2BD9"/>
    <w:rsid w:val="00A06D28"/>
    <w:rsid w:val="00A512F4"/>
    <w:rsid w:val="00AC2E61"/>
    <w:rsid w:val="00AF1D73"/>
    <w:rsid w:val="00AF324E"/>
    <w:rsid w:val="00B214A0"/>
    <w:rsid w:val="00B25146"/>
    <w:rsid w:val="00B44A8C"/>
    <w:rsid w:val="00B4704B"/>
    <w:rsid w:val="00B57E92"/>
    <w:rsid w:val="00B61EC1"/>
    <w:rsid w:val="00B96E3F"/>
    <w:rsid w:val="00BA0001"/>
    <w:rsid w:val="00BB7777"/>
    <w:rsid w:val="00C258FC"/>
    <w:rsid w:val="00C40501"/>
    <w:rsid w:val="00C62C75"/>
    <w:rsid w:val="00C82BE0"/>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865703">
      <w:bodyDiv w:val="1"/>
      <w:marLeft w:val="0"/>
      <w:marRight w:val="0"/>
      <w:marTop w:val="0"/>
      <w:marBottom w:val="0"/>
      <w:divBdr>
        <w:top w:val="none" w:sz="0" w:space="0" w:color="auto"/>
        <w:left w:val="none" w:sz="0" w:space="0" w:color="auto"/>
        <w:bottom w:val="none" w:sz="0" w:space="0" w:color="auto"/>
        <w:right w:val="none" w:sz="0" w:space="0" w:color="auto"/>
      </w:divBdr>
      <w:divsChild>
        <w:div w:id="1057629929">
          <w:marLeft w:val="0"/>
          <w:marRight w:val="0"/>
          <w:marTop w:val="0"/>
          <w:marBottom w:val="0"/>
          <w:divBdr>
            <w:top w:val="none" w:sz="0" w:space="0" w:color="auto"/>
            <w:left w:val="none" w:sz="0" w:space="0" w:color="auto"/>
            <w:bottom w:val="none" w:sz="0" w:space="0" w:color="auto"/>
            <w:right w:val="none" w:sz="0" w:space="0" w:color="auto"/>
          </w:divBdr>
          <w:divsChild>
            <w:div w:id="505945107">
              <w:marLeft w:val="0"/>
              <w:marRight w:val="0"/>
              <w:marTop w:val="0"/>
              <w:marBottom w:val="0"/>
              <w:divBdr>
                <w:top w:val="none" w:sz="0" w:space="0" w:color="auto"/>
                <w:left w:val="none" w:sz="0" w:space="0" w:color="auto"/>
                <w:bottom w:val="none" w:sz="0" w:space="0" w:color="auto"/>
                <w:right w:val="none" w:sz="0" w:space="0" w:color="auto"/>
              </w:divBdr>
            </w:div>
            <w:div w:id="2018653896">
              <w:marLeft w:val="0"/>
              <w:marRight w:val="0"/>
              <w:marTop w:val="0"/>
              <w:marBottom w:val="0"/>
              <w:divBdr>
                <w:top w:val="none" w:sz="0" w:space="0" w:color="auto"/>
                <w:left w:val="none" w:sz="0" w:space="0" w:color="auto"/>
                <w:bottom w:val="none" w:sz="0" w:space="0" w:color="auto"/>
                <w:right w:val="none" w:sz="0" w:space="0" w:color="auto"/>
              </w:divBdr>
              <w:divsChild>
                <w:div w:id="5369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57875">
          <w:marLeft w:val="0"/>
          <w:marRight w:val="0"/>
          <w:marTop w:val="0"/>
          <w:marBottom w:val="0"/>
          <w:divBdr>
            <w:top w:val="none" w:sz="0" w:space="0" w:color="auto"/>
            <w:left w:val="none" w:sz="0" w:space="0" w:color="auto"/>
            <w:bottom w:val="none" w:sz="0" w:space="0" w:color="auto"/>
            <w:right w:val="none" w:sz="0" w:space="0" w:color="auto"/>
          </w:divBdr>
          <w:divsChild>
            <w:div w:id="799954727">
              <w:marLeft w:val="0"/>
              <w:marRight w:val="0"/>
              <w:marTop w:val="0"/>
              <w:marBottom w:val="0"/>
              <w:divBdr>
                <w:top w:val="none" w:sz="0" w:space="0" w:color="auto"/>
                <w:left w:val="none" w:sz="0" w:space="0" w:color="auto"/>
                <w:bottom w:val="none" w:sz="0" w:space="0" w:color="auto"/>
                <w:right w:val="none" w:sz="0" w:space="0" w:color="auto"/>
              </w:divBdr>
              <w:divsChild>
                <w:div w:id="1916090994">
                  <w:marLeft w:val="0"/>
                  <w:marRight w:val="0"/>
                  <w:marTop w:val="0"/>
                  <w:marBottom w:val="0"/>
                  <w:divBdr>
                    <w:top w:val="none" w:sz="0" w:space="0" w:color="auto"/>
                    <w:left w:val="none" w:sz="0" w:space="0" w:color="auto"/>
                    <w:bottom w:val="none" w:sz="0" w:space="0" w:color="auto"/>
                    <w:right w:val="none" w:sz="0" w:space="0" w:color="auto"/>
                  </w:divBdr>
                  <w:divsChild>
                    <w:div w:id="15238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1298</Words>
  <Characters>7405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18</cp:revision>
  <dcterms:created xsi:type="dcterms:W3CDTF">2026-05-07T12:16:00Z</dcterms:created>
  <dcterms:modified xsi:type="dcterms:W3CDTF">2026-05-27T14:40:00Z</dcterms:modified>
</cp:coreProperties>
</file>