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34D" w:rsidRPr="00FC209C" w:rsidRDefault="009F478C">
      <w:pPr>
        <w:spacing w:after="0" w:line="360" w:lineRule="auto"/>
        <w:ind w:firstLine="709"/>
        <w:jc w:val="right"/>
        <w:rPr>
          <w:sz w:val="24"/>
          <w:szCs w:val="24"/>
        </w:rPr>
      </w:pPr>
      <w:r w:rsidRPr="00FC209C">
        <w:rPr>
          <w:rFonts w:ascii="Times New Roman" w:hAnsi="Times New Roman" w:cs="Times New Roman"/>
          <w:b/>
          <w:bCs/>
          <w:sz w:val="24"/>
          <w:szCs w:val="24"/>
        </w:rPr>
        <w:t xml:space="preserve">Статья поступила в редакцию: </w:t>
      </w:r>
      <w:r w:rsidRPr="00FC209C">
        <w:rPr>
          <w:rFonts w:ascii="Times New Roman" w:hAnsi="Times New Roman" w:cs="Times New Roman"/>
          <w:b/>
          <w:bCs/>
          <w:color w:val="FF0000"/>
          <w:sz w:val="24"/>
          <w:szCs w:val="24"/>
        </w:rPr>
        <w:t>12.02.2026</w:t>
      </w:r>
    </w:p>
    <w:p w:rsidR="009B034D" w:rsidRPr="00FC209C" w:rsidRDefault="009F478C">
      <w:pPr>
        <w:spacing w:after="0" w:line="360" w:lineRule="auto"/>
        <w:ind w:firstLine="709"/>
        <w:jc w:val="right"/>
        <w:rPr>
          <w:sz w:val="24"/>
          <w:szCs w:val="24"/>
        </w:rPr>
      </w:pPr>
      <w:r w:rsidRPr="00FC209C">
        <w:rPr>
          <w:rFonts w:ascii="Times New Roman" w:hAnsi="Times New Roman" w:cs="Times New Roman"/>
          <w:b/>
          <w:bCs/>
          <w:sz w:val="24"/>
          <w:szCs w:val="24"/>
        </w:rPr>
        <w:t xml:space="preserve">Статья принята к публикации: </w:t>
      </w:r>
      <w:r w:rsidRPr="00FC209C">
        <w:rPr>
          <w:rFonts w:ascii="Times New Roman" w:hAnsi="Times New Roman" w:cs="Times New Roman"/>
          <w:b/>
          <w:bCs/>
          <w:color w:val="FF0000"/>
          <w:sz w:val="24"/>
          <w:szCs w:val="24"/>
        </w:rPr>
        <w:t>28.02.2026</w:t>
      </w:r>
    </w:p>
    <w:p w:rsidR="009B034D" w:rsidRPr="00FC209C" w:rsidRDefault="009F478C">
      <w:pPr>
        <w:spacing w:after="0" w:line="360" w:lineRule="auto"/>
        <w:ind w:firstLine="709"/>
        <w:jc w:val="right"/>
        <w:rPr>
          <w:sz w:val="24"/>
          <w:szCs w:val="24"/>
        </w:rPr>
      </w:pPr>
      <w:r w:rsidRPr="00FC209C">
        <w:rPr>
          <w:rFonts w:ascii="Times New Roman" w:hAnsi="Times New Roman" w:cs="Times New Roman"/>
          <w:b/>
          <w:bCs/>
          <w:sz w:val="24"/>
          <w:szCs w:val="24"/>
        </w:rPr>
        <w:t xml:space="preserve">Статья опубликована: </w:t>
      </w:r>
      <w:r w:rsidRPr="00FC209C">
        <w:rPr>
          <w:rFonts w:ascii="Times New Roman" w:hAnsi="Times New Roman" w:cs="Times New Roman"/>
          <w:b/>
          <w:bCs/>
          <w:color w:val="FF0000"/>
          <w:sz w:val="24"/>
          <w:szCs w:val="24"/>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Учебный пример для журнала «Universum: экономика и юриспруденция». Сведения об авторах, датах, финансировании и результатах иллюстративны.</w:t>
      </w:r>
    </w:p>
    <w:p w:rsidR="009B034D" w:rsidRPr="00FC209C" w:rsidRDefault="009B034D">
      <w:pPr>
        <w:pStyle w:val="a3"/>
        <w:spacing w:before="0" w:beforeAutospacing="0" w:after="0" w:afterAutospacing="0" w:line="360" w:lineRule="auto"/>
        <w:ind w:firstLine="709"/>
        <w:jc w:val="right"/>
        <w:rPr>
          <w:sz w:val="28"/>
          <w:szCs w:val="28"/>
        </w:rPr>
      </w:pPr>
    </w:p>
    <w:p w:rsidR="009B034D" w:rsidRPr="00FC209C" w:rsidRDefault="009F478C">
      <w:pPr>
        <w:pStyle w:val="a3"/>
        <w:spacing w:before="0" w:beforeAutospacing="0" w:after="0" w:afterAutospacing="0" w:line="360" w:lineRule="auto"/>
        <w:ind w:firstLine="709"/>
        <w:rPr>
          <w:sz w:val="28"/>
          <w:szCs w:val="28"/>
        </w:rPr>
      </w:pPr>
      <w:r>
        <w:rPr>
          <w:rStyle w:val="a4"/>
          <w:sz w:val="28"/>
          <w:szCs w:val="28"/>
        </w:rPr>
        <w:t xml:space="preserve">УДК 330.341.1:338.2</w:t>
      </w:r>
    </w:p>
    <w:p w:rsidR="009B034D" w:rsidRPr="00FC209C" w:rsidRDefault="009B034D">
      <w:pPr>
        <w:pStyle w:val="a3"/>
        <w:spacing w:before="0" w:beforeAutospacing="0" w:after="0" w:afterAutospacing="0" w:line="360" w:lineRule="auto"/>
        <w:ind w:firstLine="709"/>
        <w:jc w:val="center"/>
        <w:rPr>
          <w:sz w:val="28"/>
          <w:szCs w:val="28"/>
        </w:rPr>
      </w:pPr>
    </w:p>
    <w:p w:rsidR="009B034D" w:rsidRPr="00FC209C" w:rsidRDefault="009F478C">
      <w:pPr>
        <w:pStyle w:val="a3"/>
        <w:spacing w:before="0" w:beforeAutospacing="0" w:after="0" w:afterAutospacing="0" w:line="360" w:lineRule="auto"/>
        <w:ind w:firstLine="709"/>
        <w:jc w:val="center"/>
        <w:rPr>
          <w:sz w:val="28"/>
          <w:szCs w:val="28"/>
        </w:rPr>
      </w:pPr>
      <w:r>
        <w:rPr>
          <w:rStyle w:val="a4"/>
          <w:sz w:val="28"/>
          <w:szCs w:val="28"/>
        </w:rPr>
        <w:t xml:space="preserve">Цифровая трансформация и результативность предприятий российской обрабатывающей промышленности: данные панельного анализа</w:t>
      </w:r>
    </w:p>
    <w:p w:rsidR="009B034D" w:rsidRPr="00FC209C" w:rsidRDefault="009B034D">
      <w:pPr>
        <w:pStyle w:val="a3"/>
        <w:spacing w:before="0" w:beforeAutospacing="0" w:after="0" w:afterAutospacing="0" w:line="360" w:lineRule="auto"/>
        <w:ind w:firstLine="709"/>
        <w:jc w:val="both"/>
        <w:rPr>
          <w:sz w:val="28"/>
          <w:szCs w:val="28"/>
        </w:rPr>
      </w:pPr>
    </w:p>
    <w:p w:rsidR="009B034D" w:rsidRPr="00FC209C" w:rsidRDefault="009F478C">
      <w:pPr>
        <w:pStyle w:val="a3"/>
        <w:spacing w:before="0" w:beforeAutospacing="0" w:after="0" w:afterAutospacing="0" w:line="360" w:lineRule="auto"/>
        <w:ind w:firstLine="709"/>
        <w:jc w:val="right"/>
        <w:rPr>
          <w:sz w:val="28"/>
          <w:szCs w:val="28"/>
        </w:rPr>
      </w:pPr>
      <w:r w:rsidRPr="00FC209C">
        <w:rPr>
          <w:b/>
          <w:i/>
          <w:sz w:val="28"/>
          <w:szCs w:val="28"/>
        </w:rPr>
        <w:t>Никитин Дмитрий Александрович</w:t>
      </w:r>
    </w:p>
    <w:p w:rsidR="009B034D" w:rsidRPr="00FC209C" w:rsidRDefault="009F478C">
      <w:pPr>
        <w:pStyle w:val="a3"/>
        <w:spacing w:before="0" w:beforeAutospacing="0" w:after="0" w:afterAutospacing="0" w:line="360" w:lineRule="auto"/>
        <w:ind w:firstLine="709"/>
        <w:jc w:val="right"/>
        <w:rPr>
          <w:sz w:val="28"/>
          <w:szCs w:val="28"/>
        </w:rPr>
      </w:pPr>
      <w:r w:rsidRPr="00FC209C">
        <w:rPr>
          <w:i/>
          <w:sz w:val="28"/>
          <w:szCs w:val="28"/>
        </w:rPr>
        <w:t>д-р экон. наук, профессор,</w:t>
      </w:r>
    </w:p>
    <w:p w:rsidR="009B034D" w:rsidRPr="00FC209C" w:rsidRDefault="009F478C">
      <w:pPr>
        <w:pStyle w:val="a3"/>
        <w:spacing w:before="0" w:beforeAutospacing="0" w:after="0" w:afterAutospacing="0" w:line="360" w:lineRule="auto"/>
        <w:ind w:firstLine="709"/>
        <w:jc w:val="right"/>
        <w:rPr>
          <w:sz w:val="28"/>
          <w:szCs w:val="28"/>
        </w:rPr>
      </w:pPr>
      <w:r w:rsidRPr="00FC209C">
        <w:rPr>
          <w:i/>
          <w:sz w:val="28"/>
          <w:szCs w:val="28"/>
        </w:rPr>
        <w:t>департамент корпоративных финансов и управления, НИУ «Высшая школа экономики»,</w:t>
      </w:r>
    </w:p>
    <w:p w:rsidR="009B034D" w:rsidRPr="00FC209C" w:rsidRDefault="009F478C">
      <w:pPr>
        <w:pStyle w:val="a3"/>
        <w:spacing w:before="0" w:beforeAutospacing="0" w:after="0" w:afterAutospacing="0" w:line="360" w:lineRule="auto"/>
        <w:ind w:firstLine="709"/>
        <w:jc w:val="right"/>
        <w:rPr>
          <w:sz w:val="28"/>
          <w:szCs w:val="28"/>
        </w:rPr>
      </w:pPr>
      <w:r w:rsidRPr="00FC209C">
        <w:rPr>
          <w:i/>
          <w:sz w:val="28"/>
          <w:szCs w:val="28"/>
        </w:rPr>
        <w:t>Москва, Россия</w:t>
      </w:r>
    </w:p>
    <w:p w:rsidR="009B034D" w:rsidRPr="00FC209C" w:rsidRDefault="009F478C">
      <w:pPr>
        <w:pStyle w:val="a3"/>
        <w:spacing w:before="0" w:beforeAutospacing="0" w:after="0" w:afterAutospacing="0" w:line="360" w:lineRule="auto"/>
        <w:ind w:firstLine="709"/>
        <w:jc w:val="right"/>
        <w:rPr>
          <w:sz w:val="28"/>
          <w:szCs w:val="28"/>
        </w:rPr>
        <w:keepNext/>
        <w:keepLines/>
      </w:pPr>
      <w:r>
        <w:rPr>
          <w:i/>
          <w:sz w:val="28"/>
          <w:szCs w:val="28"/>
        </w:rPr>
        <w:t xml:space="preserve">E-mail: d.nikitin@hse.ru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9B034D" w:rsidRPr="00FC209C" w:rsidRDefault="009F478C">
      <w:pPr>
        <w:pStyle w:val="a3"/>
        <w:spacing w:before="0" w:beforeAutospacing="0" w:after="0" w:afterAutospacing="0" w:line="360" w:lineRule="auto"/>
        <w:ind w:firstLine="709"/>
        <w:jc w:val="center"/>
        <w:rPr>
          <w:sz w:val="28"/>
          <w:szCs w:val="28"/>
          <w:lang w:val="en-US"/>
        </w:rPr>
      </w:pPr>
      <w:r>
        <w:rPr>
          <w:rStyle w:val="a4"/>
          <w:sz w:val="28"/>
          <w:szCs w:val="28"/>
          <w:lang w:val="en-US"/>
        </w:rPr>
        <w:t xml:space="preserve">Digital transformation and firm performance in the Russian manufacturing sector: Evidence from panel data</w:t>
      </w:r>
    </w:p>
    <w:p w:rsidR="009B034D" w:rsidRPr="00FC209C" w:rsidRDefault="009F478C">
      <w:pPr>
        <w:pStyle w:val="a3"/>
        <w:spacing w:before="0" w:beforeAutospacing="0" w:after="0" w:afterAutospacing="0" w:line="360" w:lineRule="auto"/>
        <w:ind w:firstLine="709"/>
        <w:jc w:val="right"/>
        <w:rPr>
          <w:sz w:val="28"/>
          <w:szCs w:val="28"/>
          <w:lang w:val="en-US"/>
        </w:rPr>
      </w:pPr>
      <w:proofErr w:type="spellStart"/>
      <w:r w:rsidRPr="00FC209C">
        <w:rPr>
          <w:b/>
          <w:i/>
          <w:sz w:val="28"/>
          <w:szCs w:val="28"/>
          <w:lang w:val="en-US"/>
        </w:rPr>
        <w:t>Nikitin</w:t>
      </w:r>
      <w:proofErr w:type="spellEnd"/>
      <w:r w:rsidRPr="00FC209C">
        <w:rPr>
          <w:b/>
          <w:i/>
          <w:sz w:val="28"/>
          <w:szCs w:val="28"/>
          <w:lang w:val="en-US"/>
        </w:rPr>
        <w:t xml:space="preserve"> Dmitry </w:t>
      </w:r>
      <w:proofErr w:type="spellStart"/>
      <w:r w:rsidRPr="00FC209C">
        <w:rPr>
          <w:b/>
          <w:i/>
          <w:sz w:val="28"/>
          <w:szCs w:val="28"/>
          <w:lang w:val="en-US"/>
        </w:rPr>
        <w:t>Alexandrovich</w:t>
      </w:r>
      <w:proofErr w:type="spellEnd"/>
    </w:p>
    <w:p w:rsidR="009B034D" w:rsidRPr="00FC209C" w:rsidRDefault="009F478C">
      <w:pPr>
        <w:pStyle w:val="a3"/>
        <w:spacing w:before="0" w:beforeAutospacing="0" w:after="0" w:afterAutospacing="0" w:line="360" w:lineRule="auto"/>
        <w:ind w:firstLine="709"/>
        <w:jc w:val="right"/>
        <w:rPr>
          <w:sz w:val="28"/>
          <w:szCs w:val="28"/>
          <w:lang w:val="en-US"/>
        </w:rPr>
      </w:pPr>
      <w:r w:rsidRPr="00FC209C">
        <w:rPr>
          <w:i/>
          <w:sz w:val="28"/>
          <w:szCs w:val="28"/>
          <w:lang w:val="en-US"/>
        </w:rPr>
        <w:t>Doctor of Economic Sciences, Professor,</w:t>
      </w:r>
    </w:p>
    <w:p w:rsidR="009B034D" w:rsidRPr="00FC209C" w:rsidRDefault="009F478C">
      <w:pPr>
        <w:pStyle w:val="a3"/>
        <w:spacing w:before="0" w:beforeAutospacing="0" w:after="0" w:afterAutospacing="0" w:line="360" w:lineRule="auto"/>
        <w:ind w:firstLine="709"/>
        <w:jc w:val="right"/>
        <w:rPr>
          <w:sz w:val="28"/>
          <w:szCs w:val="28"/>
          <w:lang w:val="en-US"/>
        </w:rPr>
      </w:pPr>
      <w:r w:rsidRPr="00FC209C">
        <w:rPr>
          <w:i/>
          <w:sz w:val="28"/>
          <w:szCs w:val="28"/>
          <w:lang w:val="en-US"/>
        </w:rPr>
        <w:t>Department of Corporate Finance and Governance, National Research University Higher School of Economics,</w:t>
      </w:r>
    </w:p>
    <w:p w:rsidR="009B034D" w:rsidRPr="00FC209C" w:rsidRDefault="009F478C">
      <w:pPr>
        <w:pStyle w:val="a3"/>
        <w:spacing w:before="0" w:beforeAutospacing="0" w:after="0" w:afterAutospacing="0" w:line="360" w:lineRule="auto"/>
        <w:ind w:firstLine="709"/>
        <w:jc w:val="right"/>
        <w:rPr>
          <w:sz w:val="28"/>
          <w:szCs w:val="28"/>
          <w:lang w:val="en-US"/>
        </w:rPr>
      </w:pPr>
      <w:r w:rsidRPr="00FC209C">
        <w:rPr>
          <w:i/>
          <w:sz w:val="28"/>
          <w:szCs w:val="28"/>
          <w:lang w:val="en-US"/>
        </w:rPr>
        <w:t>Moscow, Russia</w:t>
      </w:r>
    </w:p>
    <w:p w:rsidR="009B034D" w:rsidRPr="00FC209C" w:rsidRDefault="009F478C">
      <w:pPr>
        <w:pStyle w:val="a3"/>
        <w:spacing w:before="0" w:beforeAutospacing="0" w:after="0" w:afterAutospacing="0" w:line="360" w:lineRule="auto"/>
        <w:ind w:firstLine="709"/>
        <w:jc w:val="right"/>
        <w:rPr>
          <w:sz w:val="28"/>
          <w:szCs w:val="28"/>
          <w:lang w:val="en-US"/>
        </w:rPr>
        <w:keepNext/>
        <w:keepLines/>
      </w:pPr>
      <w:r>
        <w:rPr>
          <w:i/>
          <w:sz w:val="28"/>
          <w:szCs w:val="28"/>
          <w:lang w:val="en-US"/>
        </w:rPr>
        <w:t xml:space="preserve">E-mail: d.nikitin@hse.ru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9B034D" w:rsidRPr="00FC209C" w:rsidRDefault="009B034D">
      <w:pPr>
        <w:pStyle w:val="a3"/>
        <w:spacing w:before="0" w:beforeAutospacing="0" w:after="0" w:afterAutospacing="0" w:line="360" w:lineRule="auto"/>
        <w:ind w:firstLine="709"/>
        <w:jc w:val="both"/>
        <w:rPr>
          <w:sz w:val="28"/>
          <w:szCs w:val="28"/>
          <w:lang w:val="en-US"/>
        </w:rPr>
      </w:pPr>
    </w:p>
    <w:p w:rsidR="009B034D" w:rsidRPr="00FC209C" w:rsidRDefault="009F478C">
      <w:pPr>
        <w:pStyle w:val="a3"/>
        <w:spacing w:before="0" w:beforeAutospacing="0" w:after="0" w:afterAutospacing="0" w:line="360" w:lineRule="auto"/>
        <w:ind w:firstLine="709"/>
        <w:rPr>
          <w:sz w:val="28"/>
          <w:szCs w:val="28"/>
        </w:rPr>
        <w:keepNext/>
        <w:keepLines/>
      </w:pPr>
      <w:r w:rsidRPr="00FC209C">
        <w:rPr>
          <w:rStyle w:val="a4"/>
          <w:sz w:val="28"/>
          <w:szCs w:val="28"/>
        </w:rPr>
        <w:t>Аннотация</w:t>
      </w:r>
    </w:p>
    <w:p w:rsidR="009B034D" w:rsidRPr="00FC209C" w:rsidRDefault="009F478C">
      <w:pPr>
        <w:pStyle w:val="a3"/>
        <w:spacing w:before="0" w:beforeAutospacing="0" w:after="0" w:afterAutospacing="0" w:line="360" w:lineRule="auto"/>
        <w:ind w:firstLine="709"/>
        <w:jc w:val="both"/>
        <w:rPr>
          <w:sz w:val="28"/>
          <w:szCs w:val="28"/>
        </w:rPr>
      </w:pPr>
      <w:r>
        <w:rPr>
          <w:sz w:val="28"/>
          <w:szCs w:val="28"/>
        </w:rPr>
        <w:t xml:space="preserve">Цифровая трансформация стала ключевым стратегическим императивом для промышленных предприятий, однако её взаимосвязь с результативностью на уровне фирмы остаётся эмпирически дискуссионной. В настоящем исследовании изучается влияние интенсивности цифровых инвестиций на совокупную факторную производительность (СФП), рентабельность активов (ROA) и рост выручки в сбалансированной панели из 487 российских предприятий обрабатывающей промышленности за 2018–2024 годы. Регрессия с фиксированными эффектами и инструментальными переменными (IV-FE) показала, что увеличение коэффициента цифровых инвестиций на единицу ассоциировано с ростом СФП на 4,2% (p &lt; 0,01) и улучшением ROA на 1,8 п.п. (p &lt; 0,05) с двухлетним лагом. Эффект гетерогенен: крупные фирмы и предприятия наукоёмких подотраслей получают непропорционально более высокие выгоды. Полученные результаты подчёркивают роль абсорбционной ёмкости и управленческих компетенций как граничных условий реализации преимуществ цифровой трансформации. Раздельное рассмотрение производительности, прибыльности и роста выручки позволяет уточнить, какие показатели связаны с цифровыми инвестициями и насколько быстро проявляется эта связь. Практическое значение результатов состоит в учёте организационных компетенций при выборе инвестиционной стратегии. Выявленная неоднородность эффектов указывает на необходимость различать крупные предприятия и малый и средний бизнес. Полученные оценки ограничены выбранным сектором и периодом наблюдения; их перенос на другие экономики требует самостоятельной проверки.</w:t>
      </w:r>
    </w:p>
    <w:p w:rsidR="009B034D" w:rsidRPr="00FC209C" w:rsidRDefault="009B034D">
      <w:pPr>
        <w:pStyle w:val="a3"/>
        <w:spacing w:before="0" w:beforeAutospacing="0" w:after="0" w:afterAutospacing="0" w:line="360" w:lineRule="auto"/>
        <w:ind w:firstLine="709"/>
        <w:jc w:val="both"/>
        <w:rPr>
          <w:sz w:val="28"/>
          <w:szCs w:val="28"/>
        </w:rPr>
      </w:pPr>
    </w:p>
    <w:p w:rsidR="009B034D" w:rsidRPr="00FC209C" w:rsidRDefault="009F478C">
      <w:pPr>
        <w:pStyle w:val="a3"/>
        <w:spacing w:before="0" w:beforeAutospacing="0" w:after="0" w:afterAutospacing="0" w:line="360" w:lineRule="auto"/>
        <w:ind w:firstLine="709"/>
        <w:rPr>
          <w:sz w:val="28"/>
          <w:szCs w:val="28"/>
          <w:lang w:val="en-US"/>
        </w:rPr>
        <w:keepNext/>
        <w:keepLines/>
      </w:pPr>
      <w:r w:rsidRPr="00FC209C">
        <w:rPr>
          <w:rStyle w:val="a4"/>
          <w:sz w:val="28"/>
          <w:szCs w:val="28"/>
          <w:lang w:val="en-US"/>
        </w:rPr>
        <w:t>Abstract</w:t>
      </w:r>
    </w:p>
    <w:p w:rsidR="009B034D" w:rsidRPr="00FC209C" w:rsidRDefault="003B198C">
      <w:pPr>
        <w:pStyle w:val="a3"/>
        <w:spacing w:before="0" w:beforeAutospacing="0" w:after="0" w:afterAutospacing="0" w:line="360" w:lineRule="auto"/>
        <w:ind w:firstLine="709"/>
        <w:jc w:val="both"/>
        <w:rPr>
          <w:sz w:val="28"/>
          <w:szCs w:val="28"/>
          <w:lang w:val="en-US"/>
        </w:rPr>
      </w:pPr>
      <w:r>
        <w:rPr>
          <w:sz w:val="28"/>
          <w:szCs w:val="28"/>
          <w:lang w:val="en-US"/>
        </w:rPr>
        <w:t xml:space="preserve">Digital transformation has emerged as a key strategic imperative for industrial enterprises; however, its relationship with firm-level performance remains a subject of empirical debate. This study examines the impact of digital investment intensity on total factor productivity (TFP), return on assets (ROA), and revenue growth using a balanced panel of 487 Russian manufacturing enterprises spanning the years 2018–2024. Fixed-effects regression with instrumental variables (IV-FE) revealed that a one-unit increase in the digital investment ratio is associated with a 4.2% rise in TFP (p &lt; 0.01) and a 1.8 percentage point improvement in ROA (p &lt; 0.05), with a two-year lag. This effect is heterogeneous: large firms and enterprises within knowledge-intensive subsectors derive disproportionately greater benefits. These findings underscore the critical role of absorptive capacity and managerial competencies as boundary conditions for realizing the benefits of digital transformation. Considering productivity, profitability, and revenue growth separately clarifies which outcomes are associated with digital investment and how quickly the relationship appears. The practical implication is to account for organisational capabilities when selecting an investment strategy. Heterogeneous effects indicate a need to distinguish large firms from small and medium-sized enterprises. The estimates are limited to the selected sector and observation period; application to other economies requires separate validation.</w:t>
      </w:r>
    </w:p>
    <w:p w:rsidR="009B034D" w:rsidRPr="00FC209C" w:rsidRDefault="009F478C">
      <w:pPr>
        <w:pStyle w:val="a3"/>
        <w:spacing w:before="0" w:beforeAutospacing="0" w:after="0" w:afterAutospacing="0" w:line="360" w:lineRule="auto"/>
        <w:ind w:firstLine="709"/>
        <w:jc w:val="both"/>
        <w:rPr>
          <w:sz w:val="28"/>
          <w:szCs w:val="28"/>
        </w:rPr>
      </w:pPr>
      <w:r>
        <w:rPr>
          <w:rStyle w:val="a4"/>
          <w:sz w:val="28"/>
          <w:szCs w:val="28"/>
          <w:b w:val="1"/>
          <w:bCs w:val="1"/>
        </w:rPr>
        <w:t xml:space="preserve">Ключевые слова:</w:t>
      </w:r>
      <w:r>
        <w:rPr>
          <w:rStyle w:val="a4"/>
          <w:sz w:val="28"/>
          <w:szCs w:val="28"/>
          <w:b w:val="0"/>
          <w:bCs w:val="0"/>
        </w:rPr>
        <w:t xml:space="preserve"> цифровая трансформация, совокупная факторная производительность, панельные данные, обрабатывающая промышленность, Россия, результативность предприятий.</w:t>
      </w:r>
    </w:p>
    <w:p w:rsidR="009B034D" w:rsidRPr="00FC209C" w:rsidRDefault="009F478C">
      <w:pPr>
        <w:pStyle w:val="a3"/>
        <w:spacing w:before="0" w:beforeAutospacing="0" w:after="0" w:afterAutospacing="0" w:line="360" w:lineRule="auto"/>
        <w:ind w:firstLine="709"/>
        <w:jc w:val="both"/>
        <w:rPr>
          <w:sz w:val="28"/>
          <w:szCs w:val="28"/>
          <w:lang w:val="en-US"/>
        </w:rPr>
      </w:pPr>
      <w:r>
        <w:rPr>
          <w:rStyle w:val="a4"/>
          <w:sz w:val="28"/>
          <w:szCs w:val="28"/>
          <w:lang w:val="en-US"/>
          <w:b w:val="1"/>
          <w:bCs w:val="1"/>
        </w:rPr>
        <w:t xml:space="preserve">Keywords:</w:t>
      </w:r>
      <w:r>
        <w:rPr>
          <w:rStyle w:val="a4"/>
          <w:sz w:val="28"/>
          <w:szCs w:val="28"/>
          <w:lang w:val="en-US"/>
          <w:b w:val="0"/>
          <w:bCs w:val="0"/>
        </w:rPr>
        <w:t xml:space="preserve"> digital transformation, total factor productivity, panel data, manufacturing, Russia, firm performance.</w:t>
      </w:r>
    </w:p>
    <w:p w:rsidR="009B034D" w:rsidRPr="00FC209C" w:rsidRDefault="009B034D">
      <w:pPr>
        <w:pStyle w:val="a3"/>
        <w:spacing w:before="0" w:beforeAutospacing="0" w:after="0" w:afterAutospacing="0" w:line="360" w:lineRule="auto"/>
        <w:ind w:firstLine="709"/>
        <w:jc w:val="both"/>
        <w:rPr>
          <w:sz w:val="28"/>
          <w:szCs w:val="28"/>
          <w:lang w:val="en-US"/>
        </w:rPr>
      </w:pPr>
    </w:p>
    <w:p>
      <w:pPr>
        <w:pStyle w:val="a3"/>
        <w:spacing w:before="0" w:beforeAutospacing="0" w:after="0" w:afterAutospacing="0" w:line="360" w:lineRule="auto"/>
        <w:ind w:firstLine="709"/>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в рамках гранта РФФИ № 21-010-00483 «Цифровая трансформация и производительность промышленных предприятий России».</w:t>
      </w:r>
    </w:p>
    <w:p>
      <w:pPr>
        <w:pStyle w:val="a3"/>
        <w:spacing w:before="0" w:beforeAutospacing="0" w:after="0" w:afterAutospacing="0" w:line="360" w:lineRule="auto"/>
        <w:ind w:firstLine="709"/>
        <w:jc w:val="both"/>
      </w:pPr>
      <w:r>
        <w:rPr>
          <w:rStyle w:val="a4"/>
          <w:sz w:val="28"/>
          <w:szCs w:val="28"/>
          <w:lang w:val="en-US"/>
          <w:b w:val="1"/>
          <w:bCs w:val="1"/>
        </w:rPr>
        <w:t xml:space="preserve">Funding:</w:t>
      </w:r>
      <w:r>
        <w:rPr>
          <w:rStyle w:val="a4"/>
          <w:sz w:val="28"/>
          <w:szCs w:val="28"/>
          <w:lang w:val="en-US"/>
          <w:b w:val="0"/>
          <w:bCs w:val="0"/>
        </w:rPr>
        <w:t xml:space="preserve"> The study was supported by the Russian Foundation for Basic Research (RFBR), grant No. 21-010-00483 “Digital Transformation and Productivity of Russian Industrial Enterprises.”</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pPr>
        <w:pStyle w:val="a3"/>
        <w:spacing w:before="0" w:beforeAutospacing="0" w:after="0" w:afterAutospacing="0" w:line="360" w:lineRule="auto"/>
        <w:ind w:firstLine="709"/>
        <w:jc w:val="both"/>
      </w:pPr>
    </w:p>
    <w:p w:rsidR="009B034D" w:rsidRPr="00FC209C" w:rsidRDefault="009F478C">
      <w:pPr>
        <w:pStyle w:val="a3"/>
        <w:spacing w:before="0" w:beforeAutospacing="0" w:after="0" w:afterAutospacing="0" w:line="360" w:lineRule="auto"/>
        <w:ind w:firstLine="709"/>
        <w:jc w:val="both"/>
        <w:rPr>
          <w:sz w:val="28"/>
          <w:szCs w:val="28"/>
        </w:rPr>
        <w:keepNext/>
        <w:keepLines/>
      </w:pPr>
      <w:r w:rsidRPr="00FC209C">
        <w:rPr>
          <w:b/>
          <w:sz w:val="28"/>
          <w:szCs w:val="28"/>
        </w:rPr>
        <w:t>Введение</w:t>
      </w:r>
    </w:p>
    <w:p w:rsidR="009B034D" w:rsidRPr="00FC209C" w:rsidRDefault="009F478C">
      <w:pPr>
        <w:pStyle w:val="a3"/>
        <w:spacing w:before="0" w:beforeAutospacing="0" w:after="0" w:afterAutospacing="0" w:line="360" w:lineRule="auto"/>
        <w:ind w:firstLine="709"/>
        <w:jc w:val="both"/>
        <w:rPr>
          <w:sz w:val="28"/>
          <w:szCs w:val="28"/>
        </w:rPr>
      </w:pPr>
      <w:r>
        <w:rPr>
          <w:sz w:val="28"/>
          <w:szCs w:val="28"/>
        </w:rPr>
        <w:t xml:space="preserve">Цифровая трансформация включает изменения технологий, стратегии и организации бизнеса [1, 2, 8, 10]. Её связь с производительностью требует учёта комплементарных нематериальных активов, организационной способности усваивать знания и возможной неоднородности эффектов [3–5, 9]. Для анализа производительности применяются подходы, учитывающие ненаблюдаемые характеристики предприятий [6, 7]. Цель данного учебного исследования — оценить связь интенсивности цифровых инвестиций с производительностью, рентабельностью активов и ростом выручки российских производственных предприятий на иллюстративных панельных данных за 2018–2024 годы.</w:t>
      </w:r>
    </w:p>
    <w:p w:rsidR="009B034D" w:rsidRPr="00FC209C" w:rsidRDefault="009B034D">
      <w:pPr>
        <w:pStyle w:val="a3"/>
        <w:spacing w:before="0" w:beforeAutospacing="0" w:after="0" w:afterAutospacing="0" w:line="360" w:lineRule="auto"/>
        <w:ind w:firstLine="709"/>
        <w:jc w:val="both"/>
        <w:rPr>
          <w:sz w:val="28"/>
          <w:szCs w:val="28"/>
        </w:rPr>
      </w:pPr>
    </w:p>
    <w:p w:rsidR="009B034D" w:rsidRPr="00FC209C" w:rsidRDefault="009F478C">
      <w:pPr>
        <w:pStyle w:val="a3"/>
        <w:spacing w:before="0" w:beforeAutospacing="0" w:after="0" w:afterAutospacing="0" w:line="360" w:lineRule="auto"/>
        <w:ind w:firstLine="709"/>
        <w:jc w:val="both"/>
        <w:rPr>
          <w:sz w:val="28"/>
          <w:szCs w:val="28"/>
        </w:rPr>
        <w:keepNext/>
        <w:keepLines/>
      </w:pPr>
      <w:r w:rsidRPr="00FC209C">
        <w:rPr>
          <w:b/>
          <w:sz w:val="28"/>
          <w:szCs w:val="28"/>
        </w:rPr>
        <w:t>Материалы и методы</w:t>
      </w:r>
    </w:p>
    <w:p w:rsidR="009B034D" w:rsidRPr="00FC209C" w:rsidRDefault="009F478C">
      <w:pPr>
        <w:pStyle w:val="a3"/>
        <w:spacing w:before="0" w:beforeAutospacing="0" w:after="0" w:afterAutospacing="0" w:line="360" w:lineRule="auto"/>
        <w:ind w:firstLine="709"/>
        <w:jc w:val="both"/>
        <w:rPr>
          <w:sz w:val="28"/>
          <w:szCs w:val="28"/>
        </w:rPr>
      </w:pPr>
      <w:r>
        <w:rPr>
          <w:sz w:val="28"/>
          <w:szCs w:val="28"/>
        </w:rPr>
        <w:t xml:space="preserve">Эмпирический анализ основан на сбалансированной панели из 487 российских предприятий обрабатывающей промышленности, наблюдавшихся ежегодно в 2018–2024 гг. (T = 7; N = 487; 3 409 наблюдений «фирма-год»). Данные получены из финансовой базы СПАРК-Интерфакс, дополненной материалами обследования Росстата об использовании ИКТ. Основная независимая переменная — коэффициент цифровых инвестиций (КЦИ) — представляет собой долю капитальных затрат на программное обеспечение, аппаратные средства и цифровую инфраструктуру. Зависимые переменные: СФП (оценена методом Олли-Пакса), ROA и темп роста выручки. Оценивание выполнено методом фиксированных эффектов с кластерно-робастными стандартными ошибками на уровне фирмы. Для устранения эндогенности использовались два инструмента: региональный уровень проникновения широкополосного интернета (с лагом) и среднеотраслевой КЦИ без учёта фокусной фирмы. Релевантность и состоятельность инструментов подтверждены F-статистиками (&gt; 20) и тестом Сарган-Хансена. Анализ гетерогенности проводился по размеру фирмы и технологической интенсивности подотрасли (классификация ОЭСР).</w:t>
      </w:r>
    </w:p>
    <w:p w:rsidR="009B034D" w:rsidRPr="00FC209C" w:rsidRDefault="009B034D">
      <w:pPr>
        <w:pStyle w:val="a3"/>
        <w:spacing w:before="0" w:beforeAutospacing="0" w:after="0" w:afterAutospacing="0" w:line="360" w:lineRule="auto"/>
        <w:ind w:firstLine="709"/>
        <w:jc w:val="both"/>
        <w:rPr>
          <w:sz w:val="28"/>
          <w:szCs w:val="28"/>
        </w:rPr>
      </w:pPr>
    </w:p>
    <w:p w:rsidR="009B034D" w:rsidRPr="00FC209C" w:rsidRDefault="009F478C">
      <w:pPr>
        <w:pStyle w:val="a3"/>
        <w:spacing w:before="0" w:beforeAutospacing="0" w:after="0" w:afterAutospacing="0" w:line="360" w:lineRule="auto"/>
        <w:ind w:firstLine="709"/>
        <w:jc w:val="both"/>
        <w:rPr>
          <w:sz w:val="28"/>
          <w:szCs w:val="28"/>
        </w:rPr>
        <w:keepNext/>
        <w:keepLines/>
      </w:pPr>
      <w:r w:rsidRPr="00FC209C">
        <w:rPr>
          <w:b/>
          <w:sz w:val="28"/>
          <w:szCs w:val="28"/>
        </w:rPr>
        <w:t>Результаты и обсуждения</w:t>
      </w:r>
    </w:p>
    <w:p w:rsidR="00FC209C" w:rsidRDefault="009F478C">
      <w:pPr>
        <w:pStyle w:val="a3"/>
        <w:spacing w:before="0" w:beforeAutospacing="0" w:after="0" w:afterAutospacing="0" w:line="360" w:lineRule="auto"/>
        <w:ind w:firstLine="709"/>
        <w:jc w:val="both"/>
        <w:rPr>
          <w:sz w:val="28"/>
          <w:szCs w:val="28"/>
        </w:rPr>
      </w:pPr>
      <w:r>
        <w:rPr>
          <w:sz w:val="28"/>
          <w:szCs w:val="28"/>
        </w:rPr>
        <w:t xml:space="preserve">Базовые оценки IV-FE показывают, что увеличение КЦИ на единицу ассоциировано с ростом СФП на 4,2% (β = 0,042, SE = 0,011, p &lt; 0,001) и улучшением ROA на 1,8 п.п. (β = 0,018, p &lt; 0,05) с двухлетним лагом, что соответствует задокументированным периодам амортизации затрат на внедрение. Влияние на темп роста выручки положительно, но статистически незначимо (β = 0,009, p = 0,07) (рис 1.). </w:t>
      </w:r>
    </w:p>
    <w:p w:rsidR="00FC209C" w:rsidRDefault="00FC209C">
      <w:pPr>
        <w:pStyle w:val="a3"/>
        <w:spacing w:before="0" w:beforeAutospacing="0" w:after="0" w:afterAutospacing="0" w:line="360" w:lineRule="auto"/>
        <w:ind w:firstLine="709"/>
        <w:jc w:val="both"/>
        <w:rPr>
          <w:sz w:val="28"/>
          <w:szCs w:val="28"/>
        </w:rPr>
      </w:pPr>
    </w:p>
    <w:p w:rsidR="00FC209C" w:rsidRDefault="00FC209C" w:rsidP="00FC209C">
      <w:pPr>
        <w:pStyle w:val="a3"/>
        <w:spacing w:before="0" w:beforeAutospacing="0" w:after="0" w:afterAutospacing="0" w:line="360" w:lineRule="auto"/>
        <w:ind w:firstLine="0"/>
        <w:jc w:val="center"/>
        <w:rPr>
          <w:sz w:val="28"/>
          <w:szCs w:val="28"/>
        </w:rPr>
        <w:keepNext/>
      </w:pPr>
      <w:r>
        <w:rPr>
          <w:noProof/>
        </w:rPr>
        <w:drawing>
          <wp:inline distT="0" distB="0" distL="0" distR="0" wp14:anchorId="4042ADE6" wp14:editId="43736A35">
            <wp:extent cx="5486400" cy="2586400"/>
            <wp:effectExtent l="19050" t="19050" r="11430" b="266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2586400"/>
                    </a:xfrm>
                    <a:prstGeom prst="rect">
                      <a:avLst/>
                    </a:prstGeom>
                    <a:ln w="3175">
                      <a:solidFill>
                        <a:schemeClr val="tx1"/>
                      </a:solidFill>
                    </a:ln>
                  </pic:spPr>
                </pic:pic>
              </a:graphicData>
            </a:graphic>
          </wp:inline>
        </w:drawing>
      </w:r>
    </w:p>
    <w:p w:rsidR="00FC209C" w:rsidRPr="00FC209C" w:rsidRDefault="00FC209C" w:rsidP="00FC209C">
      <w:pPr>
        <w:pStyle w:val="a3"/>
        <w:spacing w:before="0" w:beforeAutospacing="0" w:after="0" w:afterAutospacing="0" w:line="360" w:lineRule="auto"/>
        <w:ind w:firstLine="0"/>
        <w:jc w:val="center"/>
        <w:rPr>
          <w:b/>
          <w:i/>
          <w:sz w:val="28"/>
          <w:szCs w:val="28"/>
        </w:rPr>
        <w:keepLines/>
      </w:pPr>
      <w:r>
        <w:rPr>
          <w:b/>
          <w:i/>
          <w:sz w:val="28"/>
          <w:szCs w:val="28"/>
        </w:rPr>
        <w:t xml:space="preserve">Рисунок 1. Эффект цифровых инвестиций на СФП по размеру предприятий</w:t>
      </w:r>
    </w:p>
    <w:p w:rsidR="00FC209C" w:rsidRDefault="00FC209C">
      <w:pPr>
        <w:pStyle w:val="a3"/>
        <w:spacing w:before="0" w:beforeAutospacing="0" w:after="0" w:afterAutospacing="0" w:line="360" w:lineRule="auto"/>
        <w:ind w:firstLine="709"/>
        <w:jc w:val="both"/>
        <w:rPr>
          <w:sz w:val="28"/>
          <w:szCs w:val="28"/>
        </w:rPr>
      </w:pPr>
    </w:p>
    <w:p w:rsidR="009B034D" w:rsidRDefault="009F478C">
      <w:pPr>
        <w:pStyle w:val="a3"/>
        <w:spacing w:before="0" w:beforeAutospacing="0" w:after="0" w:afterAutospacing="0" w:line="360" w:lineRule="auto"/>
        <w:ind w:firstLine="709"/>
        <w:jc w:val="both"/>
        <w:rPr>
          <w:sz w:val="28"/>
          <w:szCs w:val="28"/>
        </w:rPr>
      </w:pPr>
      <w:r>
        <w:rPr>
          <w:sz w:val="28"/>
          <w:szCs w:val="28"/>
        </w:rPr>
        <w:t xml:space="preserve">Анализ гетерогенности выявил, что крупные фирмы (более 250 сотрудников) получают прирост СФП примерно в 2,4 раза больший, чем МСП, а фирмы в высокотехнологичных подотраслях — в 1,9 раза больший, чем в низкотехнологичных. Эти результаты согласуются с концепцией абсорбционной ёмкости и свидетельствуют о том, что ключевым условием улучшения результативности является наличие необходимых организационных компетенций, а не только объём цифровых инвестиций (табл. 1).</w:t>
      </w:r>
    </w:p>
    <w:p w:rsidR="00FC209C" w:rsidRPr="00FC209C" w:rsidRDefault="00FC209C">
      <w:pPr>
        <w:pStyle w:val="a3"/>
        <w:spacing w:before="0" w:beforeAutospacing="0" w:after="0" w:afterAutospacing="0" w:line="360" w:lineRule="auto"/>
        <w:ind w:firstLine="709"/>
        <w:jc w:val="both"/>
        <w:rPr>
          <w:sz w:val="28"/>
          <w:szCs w:val="28"/>
        </w:rPr>
      </w:pPr>
    </w:p>
    <w:p w:rsidR="00FC209C" w:rsidRDefault="00FC209C" w:rsidP="00FC209C">
      <w:pPr>
        <w:pStyle w:val="a3"/>
        <w:spacing w:before="0" w:beforeAutospacing="0" w:after="0" w:afterAutospacing="0" w:line="360" w:lineRule="auto"/>
        <w:ind w:firstLine="0"/>
        <w:jc w:val="center"/>
        <w:rPr>
          <w:b/>
          <w:i/>
          <w:sz w:val="28"/>
          <w:szCs w:val="28"/>
        </w:rPr>
        <w:keepLines/>
        <w:keepNext/>
      </w:pPr>
      <w:r>
        <w:rPr>
          <w:b/>
          <w:i/>
          <w:sz w:val="28"/>
          <w:szCs w:val="28"/>
        </w:rPr>
        <w:t xml:space="preserve">Таблица 1. Оценки связи цифровых инвестиций с результативностью</w:t>
      </w:r>
    </w:p>
    <w:tbl>
      <w:tblPr>
        <w:tblStyle w:val="ad"/>
        <w:tblW w:w="0" w:type="auto"/>
        <w:tblLook w:val="04A0" w:firstRow="1" w:lastRow="0" w:firstColumn="1" w:lastColumn="0" w:noHBand="0" w:noVBand="1"/>
      </w:tblPr>
      <w:tblGrid>
        <w:gridCol w:w="3284"/>
        <w:gridCol w:w="3285"/>
        <w:gridCol w:w="3285"/>
      </w:tblGrid>
      <w:tr w:rsidR="008B2482">
        <w:trPr>
          <w:cantSplit/>
          <w:tblHeader/>
        </w:trPr>
        <w:tc>
          <w:tcPr>
            <w:tcW w:w="3284"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b/>
                <w:sz w:val="24"/>
                <w:szCs w:val="24"/>
                <w:lang w:val="en-US"/>
              </w:rPr>
              <w:t xml:space="preserve">Зависимая переменная</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b/>
                <w:sz w:val="24"/>
                <w:szCs w:val="24"/>
                <w:lang w:val="en-US"/>
              </w:rPr>
              <w:t xml:space="preserve">Оценка коэффициента</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b/>
                <w:sz w:val="24"/>
                <w:szCs w:val="24"/>
                <w:lang w:val="en-US"/>
              </w:rPr>
              <w:t xml:space="preserve">p</w:t>
            </w:r>
          </w:p>
        </w:tc>
      </w:tr>
      <w:tr w:rsidR="008B2482">
        <w:trPr>
          <w:cantSplit/>
        </w:trPr>
        <w:tc>
          <w:tcPr>
            <w:tcW w:w="3284"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 xml:space="preserve">Рост СФП, %</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 xml:space="preserve">4,2</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 xml:space="preserve">&lt; 0,001</w:t>
            </w:r>
          </w:p>
        </w:tc>
      </w:tr>
      <w:tr w:rsidR="008B2482">
        <w:trPr>
          <w:cantSplit/>
        </w:trPr>
        <w:tc>
          <w:tcPr>
            <w:tcW w:w="3284"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 xml:space="preserve">ROA, п.п.</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 xml:space="preserve">1,8</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 xml:space="preserve">&lt; 0,05</w:t>
            </w:r>
          </w:p>
        </w:tc>
      </w:tr>
      <w:tr w:rsidR="008B2482">
        <w:trPr>
          <w:cantSplit/>
        </w:trPr>
        <w:tc>
          <w:tcPr>
            <w:tcW w:w="3284"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 xml:space="preserve">Рост выручки</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 xml:space="preserve">0,9</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 xml:space="preserve">0,07</w:t>
            </w:r>
          </w:p>
        </w:tc>
      </w:tr>
      <w:tr w:rsidR="008B2482">
        <w:trPr>
          <w:cantSplit/>
        </w:trPr>
        <w:tc>
          <w:tcPr>
            <w:tcW w:w="3284"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pPr>
            <w:r>
              <w:rPr>
                <w:sz w:val="24"/>
                <w:szCs w:val="24"/>
                <w:lang w:val="en-US"/>
              </w:rPr>
              <w:t xml:space="preserve">Наблюдения</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pPr>
            <w:r>
              <w:rPr>
                <w:sz w:val="24"/>
                <w:szCs w:val="24"/>
                <w:lang w:val="en-US"/>
              </w:rPr>
              <w:t xml:space="preserve">3 409</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pPr>
            <w:r>
              <w:rPr>
                <w:sz w:val="24"/>
                <w:szCs w:val="24"/>
                <w:lang w:val="en-US"/>
              </w:rPr>
              <w:t xml:space="preserve">—</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Примечание: данные учебного примера.</w:t>
      </w:r>
    </w:p>
    <w:p w:rsidR="009B034D" w:rsidRPr="00FC209C" w:rsidRDefault="009F478C">
      <w:pPr>
        <w:pStyle w:val="a3"/>
        <w:spacing w:before="160" w:beforeAutospacing="0" w:after="0" w:afterAutospacing="0" w:line="360" w:lineRule="auto"/>
        <w:ind w:firstLine="709"/>
        <w:jc w:val="both"/>
        <w:rPr>
          <w:sz w:val="28"/>
          <w:szCs w:val="28"/>
        </w:rPr>
        <w:keepNext/>
        <w:keepLines/>
      </w:pPr>
      <w:r w:rsidRPr="00FC209C">
        <w:rPr>
          <w:b/>
          <w:sz w:val="28"/>
          <w:szCs w:val="28"/>
        </w:rPr>
        <w:t>Заключение</w:t>
      </w:r>
    </w:p>
    <w:p w:rsidR="009B034D" w:rsidRPr="00FC209C" w:rsidRDefault="009F478C">
      <w:pPr>
        <w:pStyle w:val="a3"/>
        <w:spacing w:before="0" w:beforeAutospacing="0" w:after="0" w:afterAutospacing="0" w:line="360" w:lineRule="auto"/>
        <w:ind w:firstLine="709"/>
        <w:jc w:val="both"/>
        <w:rPr>
          <w:sz w:val="28"/>
          <w:szCs w:val="28"/>
        </w:rPr>
      </w:pPr>
      <w:r w:rsidRPr="00FC209C">
        <w:rPr>
          <w:sz w:val="28"/>
          <w:szCs w:val="28"/>
        </w:rPr>
        <w:t>Цифровая трансформация обеспечивает измеримый и статистически значимый рост производительности и прибыльности российских производственных предприятий, однако эти выгоды реализуются с запаздыванием и сосредоточены преимущественно у крупных и технологически развитых фирм. МСП и предприятия низкотехнологичных подотраслей рискуют не получить ожидаемой отдачи, что указывает на необходимость дифференцированных мер государственной поддержки. Результаты подчёркивают важность комплементарных инвестиций в человеческий капитал и организационную реструктуризацию. Дальнейшие исследования должны быть направлены на изучение роли конкретных типов цифровых технологий (ИИ, IoT, ERP) и сопоставительный анализ данных других транзитных экономик.</w:t>
      </w:r>
    </w:p>
    <w:p w:rsidR="009B034D" w:rsidRPr="00FC209C" w:rsidRDefault="009B034D">
      <w:pPr>
        <w:pStyle w:val="a3"/>
        <w:spacing w:before="0" w:beforeAutospacing="0" w:after="0" w:afterAutospacing="0" w:line="360" w:lineRule="auto"/>
        <w:ind w:firstLine="709"/>
        <w:jc w:val="both"/>
        <w:rPr>
          <w:sz w:val="28"/>
          <w:szCs w:val="28"/>
        </w:rPr>
      </w:pPr>
    </w:p>
    <w:p w:rsidR="009B034D" w:rsidRPr="00FC209C" w:rsidRDefault="009F478C">
      <w:pPr>
        <w:pStyle w:val="a3"/>
        <w:spacing w:before="0" w:beforeAutospacing="0" w:after="0" w:afterAutospacing="0" w:line="360" w:lineRule="auto"/>
        <w:ind w:firstLine="709"/>
        <w:jc w:val="both"/>
        <w:rPr>
          <w:sz w:val="28"/>
          <w:szCs w:val="28"/>
        </w:rPr>
        <w:keepNext/>
        <w:keepLines/>
      </w:pPr>
      <w:r>
        <w:rPr>
          <w:rStyle w:val="a4"/>
          <w:sz w:val="28"/>
          <w:szCs w:val="28"/>
        </w:rPr>
        <w:t xml:space="preserve">Список литературы:</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 Matt C., Hess T., Benlian A. Digital Transformation Strategies // Business &amp; Information Systems Engineering. – 2015. – Vol. 57. – No. 5. – pp. 339–343. – DOI: 10.1007/s12599-015-0401-5.</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2. Vial G. Understanding digital transformation: A review and a research agenda // The Journal of Strategic Information Systems. – 2019. – Vol. 28. – No. 2. – pp. 118–144. – DOI: 10.1016/j.jsis.2019.01.003.</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3. Brynjolfsson E., Rock D., Syverson C. The Productivity J-Curve: How Intangibles Complement General Purpose Technologies // American Economic Journal: Macroeconomics. – 2021. – Vol. 13. – No. 1. – pp. 333–372. – DOI: 10.1257/mac.20180386.</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4. Acemoglu D., Restrepo P. Robots and Jobs: Evidence from US Labor Markets // Journal of Political Economy. – 2020. – Vol. 128. – No. 6. – pp. 2188–2244. – DOI: 10.1086/705716.</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5. Cohen W.M., Levinthal D.A. Absorptive Capacity: A New Perspective on Learning and Innovation // Administrative Science Quarterly. – 1990. – Vol. 35. – No. 1. – pp. 128–152. – DOI: 10.2307/2393553.</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6. Olley G.S., Pakes A. The Dynamics of Productivity in the Telecommunications Equipment Industry // Econometrica. – 1996. – Vol. 64. – No. 6. – pp. 1263–1297. – DOI: 10.2307/2171831.</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7. Levinsohn J., Petrin A. Estimating Production Functions Using Inputs to Control for Unobservables // Review of Economic Studies. – 2003. – Vol. 70. – No. 2. – pp. 317–341. – DOI: 10.1111/1467-937x.00246.</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8. Verhoef P.C., Broekhuizen T., Bart Y., Bhattacharya A. et al. Digital transformation: A multidisciplinary reflection and research agenda // Journal of Business Research. – 2021. – Vol. 122. – pp. 889–901. – DOI: 10.1016/j.jbusres.2019.09.022.</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9. Eller R., Alford P., Kallmünzer A., Peters M. Antecedents, consequences, and challenges of small and medium-sized enterprise digitalization // Journal of Business Research. – 2020. – Vol. 112. – pp. 119–127. – DOI: 10.1016/j.jbusres.2020.03.004.</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10. Nambisan S., Lyytinen K., Majchrzak A., Song M. Digital Innovation Management: Reinventing Innovation Management Research in a Digital World // MIS Quarterly. – 2017. – Vol. 41. – No. 1. – pp. 223–238. – DOI: 10.25300/misq/2017/41:1.03.</w:t>
      </w:r>
    </w:p>
    <w:p w14:paraId="50FB612C" w14:textId="77777777" w:rsidR="007E1DB3" w:rsidRPr="00735ADA" w:rsidRDefault="007E1DB3" w:rsidP="00735ADA">
      <w:pPr>
        <w:pStyle w:val="a3"/>
        <w:spacing w:before="0" w:beforeAutospacing="0" w:after="0" w:afterAutospacing="0" w:line="360" w:lineRule="auto"/>
        <w:ind w:firstLine="709"/>
        <w:jc w:val="both"/>
        <w:rPr>
          <w:i/>
          <w:sz w:val="28"/>
          <w:szCs w:val="28"/>
        </w:rPr>
      </w:pPr>
      <w:r>
        <w:t xml:space="preserve"/>
      </w:r>
    </w:p>
    <w:p w14:paraId="4BBCBAE0" w14:textId="49C74836" w:rsidR="0009389A" w:rsidRDefault="0009389A" w:rsidP="00C40501">
      <w:pPr>
        <w:pStyle w:val="a3"/>
        <w:spacing w:before="0" w:beforeAutospacing="0" w:after="0" w:afterAutospacing="0" w:line="360" w:lineRule="auto"/>
        <w:ind w:firstLine="709"/>
        <w:jc w:val="both"/>
        <w:rPr>
          <w:b/>
          <w:sz w:val="28"/>
          <w:szCs w:val="28"/>
        </w:rPr>
        <w:keepNext/>
        <w:keepLines/>
      </w:pPr>
      <w:r>
        <w:rPr>
          <w:b/>
          <w:sz w:val="28"/>
          <w:szCs w:val="28"/>
          <w:lang w:val="en-US"/>
        </w:rPr>
        <w:t xml:space="preserve">References:</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 Matt C., Hess T., Benlian A. Digital Transformation Strategies // Business &amp; Information Systems Engineering. – 2015. – Vol. 57. – No. 5. – pp. 339–343. – DOI: 10.1007/s12599-015-0401-5.</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2. Vial G. Understanding digital transformation: A review and a research agenda // The Journal of Strategic Information Systems. – 2019. – Vol. 28. – No. 2. – pp. 118–144. – DOI: 10.1016/j.jsis.2019.01.003.</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3. Brynjolfsson E., Rock D., Syverson C. The Productivity J-Curve: How Intangibles Complement General Purpose Technologies // American Economic Journal: Macroeconomics. – 2021. – Vol. 13. – No. 1. – pp. 333–372. – DOI: 10.1257/mac.20180386.</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4. Acemoglu D., Restrepo P. Robots and Jobs: Evidence from US Labor Markets // Journal of Political Economy. – 2020. – Vol. 128. – No. 6. – pp. 2188–2244. – DOI: 10.1086/705716.</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5. Cohen W.M., Levinthal D.A. Absorptive Capacity: A New Perspective on Learning and Innovation // Administrative Science Quarterly. – 1990. – Vol. 35. – No. 1. – pp. 128–152. – DOI: 10.2307/2393553.</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6. Olley G.S., Pakes A. The Dynamics of Productivity in the Telecommunications Equipment Industry // Econometrica. – 1996. – Vol. 64. – No. 6. – pp. 1263–1297. – DOI: 10.2307/2171831.</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7. Levinsohn J., Petrin A. Estimating Production Functions Using Inputs to Control for Unobservables // Review of Economic Studies. – 2003. – Vol. 70. – No. 2. – pp. 317–341. – DOI: 10.1111/1467-937x.00246.</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8. Verhoef P.C., Broekhuizen T., Bart Y., Bhattacharya A. et al. Digital transformation: A multidisciplinary reflection and research agenda // Journal of Business Research. – 2021. – Vol. 122. – pp. 889–901. – DOI: 10.1016/j.jbusres.2019.09.022.</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9. Eller R., Alford P., Kallmünzer A., Peters M. Antecedents, consequences, and challenges of small and medium-sized enterprise digitalization // Journal of Business Research. – 2020. – Vol. 112. – pp. 119–127. – DOI: 10.1016/j.jbusres.2020.03.004.</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10. Nambisan S., Lyytinen K., Majchrzak A., Song M. Digital Innovation Management: Reinventing Innovation Management Research in a Digital World // MIS Quarterly. – 2017. – Vol. 41. – No. 1. – pp. 223–238. – DOI: 10.25300/misq/2017/41:1.03.</w:t>
      </w:r>
    </w:p>
    <w:sectPr w:rsidR="009B034D" w:rsidRPr="00FC209C">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B97" w:rsidRDefault="00F02B97" w:rsidP="0072153F">
      <w:pPr>
        <w:spacing w:after="0" w:line="240" w:lineRule="auto"/>
      </w:pPr>
      <w:r>
        <w:separator/>
      </w:r>
    </w:p>
  </w:endnote>
  <w:endnote w:type="continuationSeparator" w:id="0">
    <w:p w:rsidR="00F02B97" w:rsidRDefault="00F02B97"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B97" w:rsidRDefault="00F02B97" w:rsidP="0072153F">
      <w:pPr>
        <w:spacing w:after="0" w:line="240" w:lineRule="auto"/>
      </w:pPr>
      <w:r>
        <w:separator/>
      </w:r>
    </w:p>
  </w:footnote>
  <w:footnote w:type="continuationSeparator" w:id="0">
    <w:p w:rsidR="00F02B97" w:rsidRDefault="00F02B97"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0D1F14"/>
    <w:rsid w:val="00101737"/>
    <w:rsid w:val="00151215"/>
    <w:rsid w:val="00165C7C"/>
    <w:rsid w:val="0017264F"/>
    <w:rsid w:val="002201D7"/>
    <w:rsid w:val="00256BD5"/>
    <w:rsid w:val="00283DE2"/>
    <w:rsid w:val="00287C4F"/>
    <w:rsid w:val="002D6583"/>
    <w:rsid w:val="00312244"/>
    <w:rsid w:val="0031732A"/>
    <w:rsid w:val="00322C3E"/>
    <w:rsid w:val="00347203"/>
    <w:rsid w:val="003870B7"/>
    <w:rsid w:val="003B198C"/>
    <w:rsid w:val="003B3FD9"/>
    <w:rsid w:val="0040155E"/>
    <w:rsid w:val="004061CC"/>
    <w:rsid w:val="0044671F"/>
    <w:rsid w:val="004470FA"/>
    <w:rsid w:val="00485F53"/>
    <w:rsid w:val="00495577"/>
    <w:rsid w:val="004E11F9"/>
    <w:rsid w:val="004F16AD"/>
    <w:rsid w:val="00517CED"/>
    <w:rsid w:val="00534ACC"/>
    <w:rsid w:val="005414AB"/>
    <w:rsid w:val="00550EF4"/>
    <w:rsid w:val="00554175"/>
    <w:rsid w:val="005574EF"/>
    <w:rsid w:val="00572407"/>
    <w:rsid w:val="005A0FCF"/>
    <w:rsid w:val="005A55AD"/>
    <w:rsid w:val="005C4D1A"/>
    <w:rsid w:val="005F2660"/>
    <w:rsid w:val="0061188D"/>
    <w:rsid w:val="006340C2"/>
    <w:rsid w:val="00646555"/>
    <w:rsid w:val="00650DFC"/>
    <w:rsid w:val="0066380F"/>
    <w:rsid w:val="00667C08"/>
    <w:rsid w:val="00674D11"/>
    <w:rsid w:val="0068543B"/>
    <w:rsid w:val="0072153F"/>
    <w:rsid w:val="00735ADA"/>
    <w:rsid w:val="00763E53"/>
    <w:rsid w:val="00780309"/>
    <w:rsid w:val="00784978"/>
    <w:rsid w:val="007879BA"/>
    <w:rsid w:val="00790D62"/>
    <w:rsid w:val="007E0BFE"/>
    <w:rsid w:val="007F0AEB"/>
    <w:rsid w:val="007F3E1D"/>
    <w:rsid w:val="007F4577"/>
    <w:rsid w:val="00811D5A"/>
    <w:rsid w:val="008202D6"/>
    <w:rsid w:val="0083785C"/>
    <w:rsid w:val="0085057A"/>
    <w:rsid w:val="00850A2E"/>
    <w:rsid w:val="0085290D"/>
    <w:rsid w:val="00874E99"/>
    <w:rsid w:val="008946B6"/>
    <w:rsid w:val="008D1FC2"/>
    <w:rsid w:val="008D64B4"/>
    <w:rsid w:val="008F2641"/>
    <w:rsid w:val="00922A1B"/>
    <w:rsid w:val="00966FE2"/>
    <w:rsid w:val="009B034D"/>
    <w:rsid w:val="009F1C09"/>
    <w:rsid w:val="009F478C"/>
    <w:rsid w:val="00A06D28"/>
    <w:rsid w:val="00A449B9"/>
    <w:rsid w:val="00AC2E61"/>
    <w:rsid w:val="00AC7B12"/>
    <w:rsid w:val="00AF324E"/>
    <w:rsid w:val="00B25146"/>
    <w:rsid w:val="00B427C9"/>
    <w:rsid w:val="00B44A8C"/>
    <w:rsid w:val="00B4540A"/>
    <w:rsid w:val="00B4704B"/>
    <w:rsid w:val="00B57E92"/>
    <w:rsid w:val="00B61EC1"/>
    <w:rsid w:val="00B7435A"/>
    <w:rsid w:val="00B96E3F"/>
    <w:rsid w:val="00B9755D"/>
    <w:rsid w:val="00C107F1"/>
    <w:rsid w:val="00C15ED2"/>
    <w:rsid w:val="00C20EFF"/>
    <w:rsid w:val="00C258FC"/>
    <w:rsid w:val="00C40501"/>
    <w:rsid w:val="00C62C75"/>
    <w:rsid w:val="00C82BE0"/>
    <w:rsid w:val="00CF3AB2"/>
    <w:rsid w:val="00D20F27"/>
    <w:rsid w:val="00D26552"/>
    <w:rsid w:val="00D82DF8"/>
    <w:rsid w:val="00D86826"/>
    <w:rsid w:val="00D9395C"/>
    <w:rsid w:val="00D96060"/>
    <w:rsid w:val="00DA16FA"/>
    <w:rsid w:val="00DA6CC2"/>
    <w:rsid w:val="00DE74A0"/>
    <w:rsid w:val="00E111A1"/>
    <w:rsid w:val="00E24DE3"/>
    <w:rsid w:val="00E33732"/>
    <w:rsid w:val="00E3588A"/>
    <w:rsid w:val="00E5783E"/>
    <w:rsid w:val="00E57855"/>
    <w:rsid w:val="00E60A0E"/>
    <w:rsid w:val="00E617E5"/>
    <w:rsid w:val="00E672B9"/>
    <w:rsid w:val="00EA5B65"/>
    <w:rsid w:val="00EB32C2"/>
    <w:rsid w:val="00EB48AF"/>
    <w:rsid w:val="00EE08BE"/>
    <w:rsid w:val="00EE624A"/>
    <w:rsid w:val="00F02B97"/>
    <w:rsid w:val="00F20382"/>
    <w:rsid w:val="00F44D0D"/>
    <w:rsid w:val="00F54D2D"/>
    <w:rsid w:val="00F86B5A"/>
    <w:rsid w:val="00FA1D3E"/>
    <w:rsid w:val="00FC209C"/>
    <w:rsid w:val="00FC3B43"/>
    <w:rsid w:val="00FC401F"/>
    <w:rsid w:val="00FD1D05"/>
    <w:rsid w:val="00FE4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1363</TotalTime>
  <Pages>7</Pages>
  <Words>1448</Words>
  <Characters>8259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44</cp:revision>
  <dcterms:created xsi:type="dcterms:W3CDTF">2026-05-07T12:16:00Z</dcterms:created>
  <dcterms:modified xsi:type="dcterms:W3CDTF">2026-05-27T14:19:00Z</dcterms:modified>
</cp:coreProperties>
</file>