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0" w:rsidRPr="00D168CF" w:rsidRDefault="00585AB9">
      <w:pPr>
        <w:spacing w:after="0" w:line="360" w:lineRule="auto"/>
        <w:ind w:firstLine="567"/>
        <w:jc w:val="right"/>
        <w:rPr>
          <w:lang w:val="en-US"/>
        </w:rPr>
      </w:pPr>
      <w:r>
        <w:rPr>
          <w:rFonts w:ascii="Times New Roman" w:hAnsi="Times New Roman" w:cs="Times New Roman"/>
          <w:b/>
          <w:bCs/>
          <w:sz w:val="24"/>
          <w:szCs w:val="24"/>
          <w:lang w:val="en-US"/>
        </w:rPr>
        <w:t xml:space="preserve">Received: </w:t>
      </w:r>
      <w:r>
        <w:rPr>
          <w:rFonts w:ascii="Times New Roman" w:hAnsi="Times New Roman" w:cs="Times New Roman"/>
          <w:b/>
          <w:bCs/>
          <w:color w:val="FF0000"/>
          <w:sz w:val="24"/>
          <w:szCs w:val="24"/>
          <w:lang w:val="en-US"/>
        </w:rPr>
        <w:t>15.03.2026</w:t>
      </w:r>
    </w:p>
    <w:p w:rsidR="007762C0" w:rsidRPr="00D168CF" w:rsidRDefault="00585AB9">
      <w:pPr>
        <w:spacing w:after="0" w:line="360" w:lineRule="auto"/>
        <w:ind w:firstLine="567"/>
        <w:jc w:val="right"/>
        <w:rPr>
          <w:lang w:val="en-US"/>
        </w:rPr>
      </w:pPr>
      <w:r>
        <w:rPr>
          <w:rFonts w:ascii="Times New Roman" w:hAnsi="Times New Roman" w:cs="Times New Roman"/>
          <w:b/>
          <w:bCs/>
          <w:sz w:val="24"/>
          <w:szCs w:val="24"/>
          <w:lang w:val="en-US"/>
        </w:rPr>
        <w:t xml:space="preserve">Accepted: </w:t>
      </w:r>
      <w:r>
        <w:rPr>
          <w:rFonts w:ascii="Times New Roman" w:hAnsi="Times New Roman" w:cs="Times New Roman"/>
          <w:b/>
          <w:bCs/>
          <w:color w:val="FF0000"/>
          <w:sz w:val="24"/>
          <w:szCs w:val="24"/>
          <w:lang w:val="en-US"/>
        </w:rPr>
        <w:t>30.03.2026</w:t>
      </w:r>
    </w:p>
    <w:p w:rsidR="007762C0" w:rsidRPr="00D168CF" w:rsidRDefault="00585AB9">
      <w:pPr>
        <w:spacing w:after="0" w:line="360" w:lineRule="auto"/>
        <w:ind w:firstLine="567"/>
        <w:jc w:val="right"/>
        <w:rPr>
          <w:lang w:val="en-US"/>
        </w:rPr>
      </w:pPr>
      <w:r>
        <w:rPr>
          <w:rFonts w:ascii="Times New Roman" w:hAnsi="Times New Roman" w:cs="Times New Roman"/>
          <w:b/>
          <w:bCs/>
          <w:sz w:val="24"/>
          <w:szCs w:val="24"/>
          <w:lang w:val="en-US"/>
        </w:rPr>
        <w:t xml:space="preserve">Published: </w:t>
      </w:r>
      <w:r>
        <w:rPr>
          <w:rFonts w:ascii="Times New Roman" w:hAnsi="Times New Roman" w:cs="Times New Roman"/>
          <w:b/>
          <w:bCs/>
          <w:color w:val="FF0000"/>
          <w:sz w:val="24"/>
          <w:szCs w:val="24"/>
          <w:lang w:val="en-US"/>
        </w:rPr>
        <w:t>11.05.2026</w:t>
      </w:r>
    </w:p>
    <w:p w:rsidR="007762C0" w:rsidRPr="00D168CF" w:rsidRDefault="007762C0">
      <w:pPr>
        <w:pStyle w:val="a3"/>
        <w:spacing w:before="0" w:beforeAutospacing="0" w:after="0" w:afterAutospacing="0" w:line="360" w:lineRule="auto"/>
        <w:ind w:firstLine="567"/>
        <w:jc w:val="right"/>
        <w:rPr>
          <w:lang w:val="en-US"/>
        </w:rPr>
      </w:pPr>
    </w:p>
    <w:p w:rsidR="007762C0" w:rsidRPr="00D168CF" w:rsidRDefault="00585AB9">
      <w:pPr>
        <w:pStyle w:val="a3"/>
        <w:spacing w:before="0" w:beforeAutospacing="0" w:after="0" w:afterAutospacing="0" w:line="360" w:lineRule="auto"/>
        <w:ind w:firstLine="567"/>
        <w:rPr>
          <w:lang w:val="en-US"/>
        </w:rPr>
      </w:pPr>
      <w:r>
        <w:rPr>
          <w:rStyle w:val="a4"/>
          <w:sz w:val="28"/>
          <w:szCs w:val="28"/>
        </w:rPr>
        <w:t>УДК</w:t>
      </w:r>
      <w:r>
        <w:rPr>
          <w:rStyle w:val="a4"/>
          <w:sz w:val="28"/>
          <w:szCs w:val="28"/>
          <w:lang w:val="en-US"/>
        </w:rPr>
        <w:t xml:space="preserve"> </w:t>
      </w:r>
      <w:r>
        <w:rPr>
          <w:rStyle w:val="a4"/>
          <w:b w:val="0"/>
          <w:sz w:val="28"/>
          <w:szCs w:val="28"/>
          <w:lang w:val="en-US"/>
        </w:rPr>
        <w:t>316.422.4:316.77</w:t>
      </w:r>
    </w:p>
    <w:p w:rsidR="007762C0" w:rsidRPr="00D168CF" w:rsidRDefault="007762C0">
      <w:pPr>
        <w:pStyle w:val="a3"/>
        <w:spacing w:before="0" w:beforeAutospacing="0" w:after="0" w:afterAutospacing="0" w:line="360" w:lineRule="auto"/>
        <w:ind w:firstLine="567"/>
        <w:jc w:val="center"/>
        <w:rPr>
          <w:lang w:val="en-US"/>
        </w:rPr>
      </w:pPr>
    </w:p>
    <w:p w:rsidR="007762C0" w:rsidRPr="00D168CF" w:rsidRDefault="00585AB9">
      <w:pPr>
        <w:pStyle w:val="a3"/>
        <w:spacing w:before="0" w:beforeAutospacing="0" w:after="0" w:afterAutospacing="0" w:line="360" w:lineRule="auto"/>
        <w:ind w:firstLine="567"/>
        <w:jc w:val="center"/>
        <w:rPr>
          <w:lang w:val="en-US"/>
        </w:rPr>
      </w:pPr>
      <w:r>
        <w:rPr>
          <w:rStyle w:val="a4"/>
          <w:sz w:val="28"/>
          <w:szCs w:val="28"/>
          <w:lang w:val="en-US"/>
        </w:rPr>
        <w:t>SOCIAL MEDIA USE AND SUBJECTIVE WELLBEING AMONG UNIVERSITY STUDENTS: THE MODERATING ROLE OF SOCIAL COMPARISON ORIENTATION</w:t>
      </w:r>
    </w:p>
    <w:p w:rsidR="007762C0" w:rsidRPr="00D168CF" w:rsidRDefault="007762C0">
      <w:pPr>
        <w:pStyle w:val="a3"/>
        <w:spacing w:before="0" w:beforeAutospacing="0" w:after="0" w:afterAutospacing="0" w:line="360" w:lineRule="auto"/>
        <w:ind w:firstLine="567"/>
        <w:jc w:val="both"/>
        <w:rPr>
          <w:lang w:val="en-US"/>
        </w:rPr>
      </w:pPr>
    </w:p>
    <w:p w:rsidR="007762C0" w:rsidRPr="00D168CF" w:rsidRDefault="00585AB9">
      <w:pPr>
        <w:pStyle w:val="a3"/>
        <w:spacing w:before="0" w:beforeAutospacing="0" w:after="0" w:afterAutospacing="0" w:line="360" w:lineRule="auto"/>
        <w:ind w:firstLine="567"/>
        <w:jc w:val="right"/>
        <w:rPr>
          <w:lang w:val="en-US"/>
        </w:rPr>
      </w:pPr>
      <w:proofErr w:type="spellStart"/>
      <w:r>
        <w:rPr>
          <w:b/>
          <w:i/>
          <w:sz w:val="28"/>
          <w:szCs w:val="28"/>
          <w:lang w:val="en-US"/>
        </w:rPr>
        <w:t>Lebedeva</w:t>
      </w:r>
      <w:proofErr w:type="spellEnd"/>
      <w:r>
        <w:rPr>
          <w:b/>
          <w:i/>
          <w:sz w:val="28"/>
          <w:szCs w:val="28"/>
          <w:lang w:val="en-US"/>
        </w:rPr>
        <w:t xml:space="preserve"> Marina </w:t>
      </w:r>
      <w:proofErr w:type="spellStart"/>
      <w:r>
        <w:rPr>
          <w:b/>
          <w:i/>
          <w:sz w:val="28"/>
          <w:szCs w:val="28"/>
          <w:lang w:val="en-US"/>
        </w:rPr>
        <w:t>Yurievna</w:t>
      </w:r>
      <w:proofErr w:type="spellEnd"/>
    </w:p>
    <w:p w:rsidR="007762C0" w:rsidRPr="00D168CF" w:rsidRDefault="00585AB9">
      <w:pPr>
        <w:pStyle w:val="a3"/>
        <w:spacing w:before="0" w:beforeAutospacing="0" w:after="0" w:afterAutospacing="0" w:line="360" w:lineRule="auto"/>
        <w:ind w:firstLine="567"/>
        <w:jc w:val="right"/>
        <w:rPr>
          <w:lang w:val="en-US"/>
        </w:rPr>
      </w:pPr>
      <w:r>
        <w:rPr>
          <w:i/>
          <w:sz w:val="28"/>
          <w:szCs w:val="28"/>
          <w:lang w:val="en-US"/>
        </w:rPr>
        <w:t>PhD in Sociology, Associate Professor,</w:t>
      </w:r>
    </w:p>
    <w:p w:rsidR="007762C0" w:rsidRPr="00D168CF" w:rsidRDefault="00585AB9">
      <w:pPr>
        <w:pStyle w:val="a3"/>
        <w:spacing w:before="0" w:beforeAutospacing="0" w:after="0" w:afterAutospacing="0" w:line="360" w:lineRule="auto"/>
        <w:ind w:firstLine="567"/>
        <w:jc w:val="right"/>
        <w:rPr>
          <w:lang w:val="en-US"/>
        </w:rPr>
      </w:pPr>
      <w:r>
        <w:rPr>
          <w:i/>
          <w:sz w:val="28"/>
          <w:szCs w:val="28"/>
          <w:lang w:val="en-US"/>
        </w:rPr>
        <w:t xml:space="preserve">Department of Social Sociology and Demography, </w:t>
      </w:r>
      <w:proofErr w:type="spellStart"/>
      <w:r>
        <w:rPr>
          <w:i/>
          <w:sz w:val="28"/>
          <w:szCs w:val="28"/>
          <w:lang w:val="en-US"/>
        </w:rPr>
        <w:t>Lomonosov</w:t>
      </w:r>
      <w:proofErr w:type="spellEnd"/>
      <w:r>
        <w:rPr>
          <w:i/>
          <w:sz w:val="28"/>
          <w:szCs w:val="28"/>
          <w:lang w:val="en-US"/>
        </w:rPr>
        <w:t xml:space="preserve"> Moscow State University,</w:t>
      </w:r>
    </w:p>
    <w:p w:rsidR="007762C0" w:rsidRPr="00D168CF" w:rsidRDefault="00585AB9">
      <w:pPr>
        <w:pStyle w:val="a3"/>
        <w:spacing w:before="0" w:beforeAutospacing="0" w:after="0" w:afterAutospacing="0" w:line="360" w:lineRule="auto"/>
        <w:ind w:firstLine="567"/>
        <w:jc w:val="right"/>
        <w:rPr>
          <w:lang w:val="en-US"/>
        </w:rPr>
      </w:pPr>
      <w:r>
        <w:rPr>
          <w:i/>
          <w:sz w:val="28"/>
          <w:szCs w:val="28"/>
          <w:lang w:val="en-US"/>
        </w:rPr>
        <w:t>Moscow, Russia</w:t>
      </w:r>
    </w:p>
    <w:p w:rsidR="007762C0" w:rsidRPr="00D168CF" w:rsidRDefault="00585AB9">
      <w:pPr>
        <w:pStyle w:val="a3"/>
        <w:spacing w:before="0" w:beforeAutospacing="0" w:after="0" w:afterAutospacing="0" w:line="360" w:lineRule="auto"/>
        <w:ind w:firstLine="567"/>
        <w:jc w:val="right"/>
        <w:rPr>
          <w:lang w:val="en-US"/>
        </w:rPr>
      </w:pPr>
      <w:r>
        <w:rPr>
          <w:i/>
          <w:sz w:val="28"/>
          <w:szCs w:val="28"/>
          <w:lang w:val="en-US"/>
        </w:rPr>
        <w:t>E</w:t>
      </w:r>
      <w:r w:rsidRPr="00D168CF">
        <w:rPr>
          <w:i/>
          <w:sz w:val="28"/>
          <w:szCs w:val="28"/>
          <w:lang w:val="en-US"/>
        </w:rPr>
        <w:t>-</w:t>
      </w:r>
      <w:r>
        <w:rPr>
          <w:i/>
          <w:sz w:val="28"/>
          <w:szCs w:val="28"/>
          <w:lang w:val="en-US"/>
        </w:rPr>
        <w:t>mail: m.lebedeva@socio.msu.ru</w:t>
      </w:r>
    </w:p>
    <w:p w:rsidR="007762C0" w:rsidRPr="00D168CF" w:rsidRDefault="007762C0">
      <w:pPr>
        <w:pStyle w:val="a3"/>
        <w:spacing w:before="0" w:beforeAutospacing="0" w:after="0" w:afterAutospacing="0" w:line="360" w:lineRule="auto"/>
        <w:ind w:firstLine="567"/>
        <w:jc w:val="both"/>
        <w:rPr>
          <w:lang w:val="en-US"/>
        </w:rPr>
      </w:pPr>
    </w:p>
    <w:p w:rsidR="007762C0" w:rsidRDefault="00585AB9">
      <w:pPr>
        <w:pStyle w:val="a3"/>
        <w:spacing w:before="0" w:beforeAutospacing="0" w:after="0" w:afterAutospacing="0" w:line="360" w:lineRule="auto"/>
        <w:ind w:firstLine="567"/>
        <w:jc w:val="center"/>
      </w:pPr>
      <w:r>
        <w:rPr>
          <w:rStyle w:val="a4"/>
          <w:sz w:val="28"/>
          <w:szCs w:val="28"/>
        </w:rPr>
        <w:t>ИСПОЛЬЗОВАНИЕ СОЦИАЛЬНЫХ СЕТЕЙ И СУБЪЕКТИВНОЕ БЛАГОПОЛУЧИЕ СТУДЕНТОВ: МОДЕРИРУЮЩАЯ РОЛЬ ОРИЕНТАЦИИ НА СОЦИАЛЬНОЕ СРАВНЕНИЕ</w:t>
      </w:r>
    </w:p>
    <w:p w:rsidR="007762C0" w:rsidRDefault="007762C0">
      <w:pPr>
        <w:pStyle w:val="a3"/>
        <w:spacing w:before="0" w:beforeAutospacing="0" w:after="0" w:afterAutospacing="0" w:line="360" w:lineRule="auto"/>
        <w:ind w:firstLine="567"/>
        <w:jc w:val="center"/>
      </w:pPr>
    </w:p>
    <w:p w:rsidR="007762C0" w:rsidRDefault="00585AB9">
      <w:pPr>
        <w:pStyle w:val="a3"/>
        <w:spacing w:before="0" w:beforeAutospacing="0" w:after="0" w:afterAutospacing="0" w:line="360" w:lineRule="auto"/>
        <w:ind w:firstLine="567"/>
        <w:jc w:val="right"/>
      </w:pPr>
      <w:r>
        <w:rPr>
          <w:b/>
          <w:i/>
          <w:sz w:val="28"/>
          <w:szCs w:val="28"/>
        </w:rPr>
        <w:t>Лебедева Марина Юрьевна</w:t>
      </w:r>
    </w:p>
    <w:p w:rsidR="007762C0" w:rsidRDefault="00585AB9">
      <w:pPr>
        <w:pStyle w:val="a3"/>
        <w:spacing w:before="0" w:beforeAutospacing="0" w:after="0" w:afterAutospacing="0" w:line="360" w:lineRule="auto"/>
        <w:ind w:firstLine="567"/>
        <w:jc w:val="right"/>
      </w:pPr>
      <w:r>
        <w:rPr>
          <w:i/>
          <w:sz w:val="28"/>
          <w:szCs w:val="28"/>
        </w:rPr>
        <w:t>канд. социол. наук, доцент,</w:t>
      </w:r>
    </w:p>
    <w:p w:rsidR="007762C0" w:rsidRDefault="00585AB9">
      <w:pPr>
        <w:pStyle w:val="a3"/>
        <w:spacing w:before="0" w:beforeAutospacing="0" w:after="0" w:afterAutospacing="0" w:line="360" w:lineRule="auto"/>
        <w:ind w:firstLine="567"/>
        <w:jc w:val="right"/>
      </w:pPr>
      <w:r>
        <w:rPr>
          <w:i/>
          <w:sz w:val="28"/>
          <w:szCs w:val="28"/>
        </w:rPr>
        <w:t>кафедра социальной социологии и демографии, МГУ им. М.В. Ломоносова,</w:t>
      </w:r>
    </w:p>
    <w:p w:rsidR="007762C0" w:rsidRDefault="00585AB9">
      <w:pPr>
        <w:pStyle w:val="a3"/>
        <w:spacing w:before="0" w:beforeAutospacing="0" w:after="0" w:afterAutospacing="0" w:line="360" w:lineRule="auto"/>
        <w:ind w:firstLine="567"/>
        <w:jc w:val="right"/>
      </w:pPr>
      <w:r>
        <w:rPr>
          <w:i/>
          <w:sz w:val="28"/>
          <w:szCs w:val="28"/>
        </w:rPr>
        <w:t>Москва, Россия</w:t>
      </w:r>
    </w:p>
    <w:p w:rsidR="007762C0" w:rsidRDefault="00585AB9">
      <w:pPr>
        <w:pStyle w:val="a3"/>
        <w:spacing w:before="0" w:beforeAutospacing="0" w:after="0" w:afterAutospacing="0" w:line="360" w:lineRule="auto"/>
        <w:ind w:firstLine="567"/>
        <w:jc w:val="right"/>
      </w:pPr>
      <w:r>
        <w:rPr>
          <w:i/>
          <w:sz w:val="28"/>
          <w:szCs w:val="28"/>
          <w:lang w:val="en-US"/>
        </w:rPr>
        <w:t>E</w:t>
      </w:r>
      <w:r>
        <w:rPr>
          <w:i/>
          <w:sz w:val="28"/>
          <w:szCs w:val="28"/>
        </w:rPr>
        <w:t>-</w:t>
      </w:r>
      <w:r>
        <w:rPr>
          <w:i/>
          <w:sz w:val="28"/>
          <w:szCs w:val="28"/>
          <w:lang w:val="en-US"/>
        </w:rPr>
        <w:t>mail</w:t>
      </w:r>
      <w:r w:rsidRPr="00D168CF">
        <w:rPr>
          <w:i/>
          <w:sz w:val="28"/>
          <w:szCs w:val="28"/>
        </w:rPr>
        <w:t xml:space="preserve">: </w:t>
      </w:r>
      <w:r>
        <w:rPr>
          <w:i/>
          <w:sz w:val="28"/>
          <w:szCs w:val="28"/>
          <w:lang w:val="en-US"/>
        </w:rPr>
        <w:t>m</w:t>
      </w:r>
      <w:r w:rsidRPr="00D168CF">
        <w:rPr>
          <w:i/>
          <w:sz w:val="28"/>
          <w:szCs w:val="28"/>
        </w:rPr>
        <w:t>.</w:t>
      </w:r>
      <w:proofErr w:type="spellStart"/>
      <w:r>
        <w:rPr>
          <w:i/>
          <w:sz w:val="28"/>
          <w:szCs w:val="28"/>
          <w:lang w:val="en-US"/>
        </w:rPr>
        <w:t>lebedeva</w:t>
      </w:r>
      <w:proofErr w:type="spellEnd"/>
      <w:r w:rsidRPr="00D168CF">
        <w:rPr>
          <w:i/>
          <w:sz w:val="28"/>
          <w:szCs w:val="28"/>
        </w:rPr>
        <w:t>@</w:t>
      </w:r>
      <w:r>
        <w:rPr>
          <w:i/>
          <w:sz w:val="28"/>
          <w:szCs w:val="28"/>
          <w:lang w:val="en-US"/>
        </w:rPr>
        <w:t>socio</w:t>
      </w:r>
      <w:r w:rsidRPr="00D168CF">
        <w:rPr>
          <w:i/>
          <w:sz w:val="28"/>
          <w:szCs w:val="28"/>
        </w:rPr>
        <w:t>.</w:t>
      </w:r>
      <w:proofErr w:type="spellStart"/>
      <w:r>
        <w:rPr>
          <w:i/>
          <w:sz w:val="28"/>
          <w:szCs w:val="28"/>
          <w:lang w:val="en-US"/>
        </w:rPr>
        <w:t>msu</w:t>
      </w:r>
      <w:proofErr w:type="spellEnd"/>
      <w:r w:rsidRPr="00D168CF">
        <w:rPr>
          <w:i/>
          <w:sz w:val="28"/>
          <w:szCs w:val="28"/>
        </w:rPr>
        <w:t>.</w:t>
      </w:r>
      <w:proofErr w:type="spellStart"/>
      <w:r>
        <w:rPr>
          <w:i/>
          <w:sz w:val="28"/>
          <w:szCs w:val="28"/>
          <w:lang w:val="en-US"/>
        </w:rPr>
        <w:t>ru</w:t>
      </w:r>
      <w:proofErr w:type="spellEnd"/>
    </w:p>
    <w:p w:rsidR="007762C0" w:rsidRDefault="007762C0">
      <w:pPr>
        <w:pStyle w:val="a3"/>
        <w:spacing w:before="0" w:beforeAutospacing="0" w:after="0" w:afterAutospacing="0" w:line="360" w:lineRule="auto"/>
        <w:ind w:firstLine="567"/>
        <w:jc w:val="right"/>
      </w:pPr>
    </w:p>
    <w:p w:rsidR="007762C0" w:rsidRPr="00D168CF" w:rsidRDefault="00585AB9">
      <w:pPr>
        <w:pStyle w:val="a3"/>
        <w:spacing w:before="0" w:beforeAutospacing="0" w:after="0" w:afterAutospacing="0" w:line="360" w:lineRule="auto"/>
        <w:ind w:firstLine="567"/>
        <w:rPr>
          <w:lang w:val="en-US"/>
        </w:rPr>
      </w:pPr>
      <w:r>
        <w:rPr>
          <w:rStyle w:val="a4"/>
          <w:sz w:val="28"/>
          <w:szCs w:val="28"/>
          <w:lang w:val="en-US"/>
        </w:rPr>
        <w:t>Abstract</w:t>
      </w:r>
    </w:p>
    <w:p w:rsidR="007762C0" w:rsidRPr="00D168CF" w:rsidRDefault="00585AB9">
      <w:pPr>
        <w:pStyle w:val="a3"/>
        <w:spacing w:before="0" w:beforeAutospacing="0" w:after="0" w:afterAutospacing="0" w:line="360" w:lineRule="auto"/>
        <w:ind w:firstLine="567"/>
        <w:jc w:val="both"/>
        <w:rPr>
          <w:lang w:val="en-US"/>
        </w:rPr>
      </w:pPr>
      <w:r>
        <w:rPr>
          <w:sz w:val="28"/>
          <w:szCs w:val="28"/>
          <w:lang w:val="en-US"/>
        </w:rPr>
        <w:t xml:space="preserve">The relationship between social media use (SMU) and subjective wellbeing (SWB) in young </w:t>
      </w:r>
      <w:proofErr w:type="gramStart"/>
      <w:r>
        <w:rPr>
          <w:sz w:val="28"/>
          <w:szCs w:val="28"/>
          <w:lang w:val="en-US"/>
        </w:rPr>
        <w:t>adults</w:t>
      </w:r>
      <w:proofErr w:type="gramEnd"/>
      <w:r>
        <w:rPr>
          <w:sz w:val="28"/>
          <w:szCs w:val="28"/>
          <w:lang w:val="en-US"/>
        </w:rPr>
        <w:t xml:space="preserve"> remains intensely debated, with findings ranging from negative to positive effects. This cross-sectional survey (N = 624, ages 18–25) </w:t>
      </w:r>
      <w:r>
        <w:rPr>
          <w:sz w:val="28"/>
          <w:szCs w:val="28"/>
          <w:lang w:val="en-US"/>
        </w:rPr>
        <w:lastRenderedPageBreak/>
        <w:t>investigated whether social comparison orientation (SCO) moderates the association between passive SMU and SWB measured via the Satisfaction with Life Scale and affect balance. Moderated hierarchical multiple regression revealed that passive SMU is negatively associated with SWB (beta = -0.24, p &lt; 0.001), and that SCO significantly moderates this relationship: the negative effect is substantially stronger among high-SCO individuals (beta = -0.41 vs beta = -0.11 for low-SCO; interaction beta = -0.19, p &lt; 0.01). Active SMU demonstrated no significant main effect. The findings support the displacement-and-comparison model and identify SCO as a key individual risk factor for digital wellbeing interventions.</w:t>
      </w:r>
    </w:p>
    <w:p w:rsidR="007762C0" w:rsidRPr="00D168CF" w:rsidRDefault="007762C0">
      <w:pPr>
        <w:pStyle w:val="a3"/>
        <w:spacing w:before="0" w:beforeAutospacing="0" w:after="0" w:afterAutospacing="0" w:line="360" w:lineRule="auto"/>
        <w:ind w:firstLine="567"/>
        <w:jc w:val="both"/>
        <w:rPr>
          <w:lang w:val="en-US"/>
        </w:rPr>
      </w:pPr>
    </w:p>
    <w:p w:rsidR="007762C0" w:rsidRDefault="00585AB9">
      <w:pPr>
        <w:pStyle w:val="a3"/>
        <w:spacing w:before="0" w:beforeAutospacing="0" w:after="0" w:afterAutospacing="0" w:line="360" w:lineRule="auto"/>
        <w:ind w:firstLine="567"/>
      </w:pPr>
      <w:r>
        <w:rPr>
          <w:rStyle w:val="a4"/>
          <w:sz w:val="28"/>
          <w:szCs w:val="28"/>
        </w:rPr>
        <w:t>Аннотация</w:t>
      </w:r>
    </w:p>
    <w:p w:rsidR="007762C0" w:rsidRPr="00387289" w:rsidRDefault="00387289">
      <w:pPr>
        <w:pStyle w:val="a3"/>
        <w:spacing w:before="0" w:beforeAutospacing="0" w:after="0" w:afterAutospacing="0" w:line="360" w:lineRule="auto"/>
        <w:ind w:firstLine="567"/>
        <w:jc w:val="both"/>
      </w:pPr>
      <w:r w:rsidRPr="00387289">
        <w:rPr>
          <w:sz w:val="28"/>
          <w:szCs w:val="28"/>
        </w:rPr>
        <w:t xml:space="preserve">Концептуальная метафора формирует общественное представление новых технологий, проецируя сложные явления в привычных концептуальных областях. В рамках данного корпусного исследования были изучены методические метафорические рамки в технологической журналистике, посвященной сфере II (период 2018–2024 гг.). Анализ проводится на материале излучения 6,2 </w:t>
      </w:r>
      <w:proofErr w:type="gramStart"/>
      <w:r w:rsidRPr="00387289">
        <w:rPr>
          <w:sz w:val="28"/>
          <w:szCs w:val="28"/>
        </w:rPr>
        <w:t>млн</w:t>
      </w:r>
      <w:proofErr w:type="gramEnd"/>
      <w:r w:rsidRPr="00387289">
        <w:rPr>
          <w:sz w:val="28"/>
          <w:szCs w:val="28"/>
        </w:rPr>
        <w:t xml:space="preserve"> </w:t>
      </w:r>
      <w:proofErr w:type="spellStart"/>
      <w:r w:rsidRPr="00387289">
        <w:rPr>
          <w:sz w:val="28"/>
          <w:szCs w:val="28"/>
        </w:rPr>
        <w:t>токенов</w:t>
      </w:r>
      <w:proofErr w:type="spellEnd"/>
      <w:r w:rsidRPr="00387289">
        <w:rPr>
          <w:sz w:val="28"/>
          <w:szCs w:val="28"/>
        </w:rPr>
        <w:t xml:space="preserve">, собранного из изданий </w:t>
      </w:r>
      <w:proofErr w:type="spellStart"/>
      <w:r w:rsidRPr="00387289">
        <w:rPr>
          <w:sz w:val="28"/>
          <w:szCs w:val="28"/>
        </w:rPr>
        <w:t>Wired</w:t>
      </w:r>
      <w:proofErr w:type="spellEnd"/>
      <w:r w:rsidRPr="00387289">
        <w:rPr>
          <w:sz w:val="28"/>
          <w:szCs w:val="28"/>
        </w:rPr>
        <w:t xml:space="preserve">, MIT </w:t>
      </w:r>
      <w:proofErr w:type="spellStart"/>
      <w:r w:rsidRPr="00387289">
        <w:rPr>
          <w:sz w:val="28"/>
          <w:szCs w:val="28"/>
        </w:rPr>
        <w:t>Technology</w:t>
      </w:r>
      <w:proofErr w:type="spellEnd"/>
      <w:r w:rsidRPr="00387289">
        <w:rPr>
          <w:sz w:val="28"/>
          <w:szCs w:val="28"/>
        </w:rPr>
        <w:t xml:space="preserve"> </w:t>
      </w:r>
      <w:proofErr w:type="spellStart"/>
      <w:r w:rsidRPr="00387289">
        <w:rPr>
          <w:sz w:val="28"/>
          <w:szCs w:val="28"/>
        </w:rPr>
        <w:t>Review</w:t>
      </w:r>
      <w:proofErr w:type="spellEnd"/>
      <w:r w:rsidRPr="00387289">
        <w:rPr>
          <w:sz w:val="28"/>
          <w:szCs w:val="28"/>
        </w:rPr>
        <w:t xml:space="preserve"> и </w:t>
      </w:r>
      <w:proofErr w:type="spellStart"/>
      <w:r w:rsidRPr="00387289">
        <w:rPr>
          <w:sz w:val="28"/>
          <w:szCs w:val="28"/>
        </w:rPr>
        <w:t>TechCrunch</w:t>
      </w:r>
      <w:proofErr w:type="spellEnd"/>
      <w:r w:rsidRPr="00387289">
        <w:rPr>
          <w:sz w:val="28"/>
          <w:szCs w:val="28"/>
        </w:rPr>
        <w:t xml:space="preserve">, с использованием инструмента </w:t>
      </w:r>
      <w:proofErr w:type="spellStart"/>
      <w:r w:rsidRPr="00387289">
        <w:rPr>
          <w:sz w:val="28"/>
          <w:szCs w:val="28"/>
        </w:rPr>
        <w:t>AntConc</w:t>
      </w:r>
      <w:proofErr w:type="spellEnd"/>
      <w:r w:rsidRPr="00387289">
        <w:rPr>
          <w:sz w:val="28"/>
          <w:szCs w:val="28"/>
        </w:rPr>
        <w:t xml:space="preserve"> 4.2 и протокола на основе методики MIPVU. Было выделено четыре </w:t>
      </w:r>
      <w:proofErr w:type="spellStart"/>
      <w:r w:rsidRPr="00387289">
        <w:rPr>
          <w:sz w:val="28"/>
          <w:szCs w:val="28"/>
        </w:rPr>
        <w:t>организованих</w:t>
      </w:r>
      <w:proofErr w:type="spellEnd"/>
      <w:r w:rsidRPr="00387289">
        <w:rPr>
          <w:sz w:val="28"/>
          <w:szCs w:val="28"/>
        </w:rPr>
        <w:t xml:space="preserve"> кластера: </w:t>
      </w:r>
      <w:proofErr w:type="gramStart"/>
      <w:r w:rsidRPr="00387289">
        <w:rPr>
          <w:sz w:val="28"/>
          <w:szCs w:val="28"/>
        </w:rPr>
        <w:t>ОРГАНИЗМ (рост, обучение, понимание), ЛИЧНОСТЬ (мышление, принятие решений, творчество), ИНСТРУМЕНТ (автоматизация, эффективность) и УГРОЗА (риск, опасность, контроль).</w:t>
      </w:r>
      <w:proofErr w:type="gramEnd"/>
      <w:r w:rsidRPr="00387289">
        <w:rPr>
          <w:sz w:val="28"/>
          <w:szCs w:val="28"/>
        </w:rPr>
        <w:t xml:space="preserve"> Частотность фреймов «ЛИЧНОСТЬ» и «ОРГАНИЗМ» возросла после 2022 года, что совпало с появлением систем генеративного ИИ (хи-квадрат = 47,3; p &lt; 0,001). Полученные результаты проливают свет на идеологические аспекты курс</w:t>
      </w:r>
      <w:proofErr w:type="gramStart"/>
      <w:r w:rsidRPr="00387289">
        <w:rPr>
          <w:sz w:val="28"/>
          <w:szCs w:val="28"/>
        </w:rPr>
        <w:t>а ИИ и</w:t>
      </w:r>
      <w:proofErr w:type="gramEnd"/>
      <w:r w:rsidRPr="00387289">
        <w:rPr>
          <w:sz w:val="28"/>
          <w:szCs w:val="28"/>
        </w:rPr>
        <w:t xml:space="preserve"> имеют практическое значение для развития </w:t>
      </w:r>
      <w:proofErr w:type="spellStart"/>
      <w:r w:rsidRPr="00387289">
        <w:rPr>
          <w:sz w:val="28"/>
          <w:szCs w:val="28"/>
        </w:rPr>
        <w:t>медиаграмотности</w:t>
      </w:r>
      <w:proofErr w:type="spellEnd"/>
      <w:r w:rsidRPr="00387289">
        <w:rPr>
          <w:sz w:val="28"/>
          <w:szCs w:val="28"/>
        </w:rPr>
        <w:t xml:space="preserve"> и научной коммуникации.</w:t>
      </w:r>
    </w:p>
    <w:p w:rsidR="007762C0" w:rsidRPr="00D168CF" w:rsidRDefault="00585AB9">
      <w:pPr>
        <w:pStyle w:val="a3"/>
        <w:spacing w:before="0" w:beforeAutospacing="0" w:after="0" w:afterAutospacing="0" w:line="360" w:lineRule="auto"/>
        <w:ind w:firstLine="567"/>
        <w:jc w:val="both"/>
        <w:rPr>
          <w:lang w:val="en-US"/>
        </w:rPr>
      </w:pPr>
      <w:r>
        <w:rPr>
          <w:rStyle w:val="a4"/>
          <w:sz w:val="28"/>
          <w:szCs w:val="28"/>
          <w:lang w:val="en-US"/>
        </w:rPr>
        <w:t>Keywords</w:t>
      </w:r>
      <w:r w:rsidRPr="00D168CF">
        <w:rPr>
          <w:rStyle w:val="a4"/>
          <w:sz w:val="28"/>
          <w:szCs w:val="28"/>
          <w:lang w:val="en-US"/>
        </w:rPr>
        <w:t>:</w:t>
      </w:r>
      <w:r>
        <w:rPr>
          <w:sz w:val="28"/>
          <w:szCs w:val="28"/>
          <w:lang w:val="en-US"/>
        </w:rPr>
        <w:t xml:space="preserve"> social media, subjective wellbeing, social comparison, passive use, university students.</w:t>
      </w:r>
    </w:p>
    <w:p w:rsidR="007762C0" w:rsidRDefault="00585AB9">
      <w:pPr>
        <w:pStyle w:val="a3"/>
        <w:spacing w:before="0" w:beforeAutospacing="0" w:after="0" w:afterAutospacing="0" w:line="360" w:lineRule="auto"/>
        <w:ind w:firstLine="567"/>
        <w:jc w:val="both"/>
      </w:pPr>
      <w:r>
        <w:rPr>
          <w:rStyle w:val="a4"/>
          <w:sz w:val="28"/>
          <w:szCs w:val="28"/>
        </w:rPr>
        <w:t>Ключевые слова</w:t>
      </w:r>
      <w:r w:rsidRPr="00D168CF">
        <w:rPr>
          <w:rStyle w:val="a4"/>
          <w:sz w:val="28"/>
          <w:szCs w:val="28"/>
        </w:rPr>
        <w:t>:</w:t>
      </w:r>
      <w:r w:rsidRPr="00D168CF">
        <w:rPr>
          <w:sz w:val="28"/>
          <w:szCs w:val="28"/>
        </w:rPr>
        <w:t xml:space="preserve"> социальные сети, субъективное благополучие, социальное сравнение, студенты.</w:t>
      </w:r>
    </w:p>
    <w:p w:rsidR="007762C0" w:rsidRDefault="007762C0">
      <w:pPr>
        <w:pStyle w:val="a3"/>
        <w:spacing w:before="0" w:beforeAutospacing="0" w:after="0" w:afterAutospacing="0" w:line="360" w:lineRule="auto"/>
        <w:ind w:firstLine="567"/>
        <w:jc w:val="both"/>
      </w:pPr>
    </w:p>
    <w:p w:rsidR="007762C0" w:rsidRPr="00D168CF" w:rsidRDefault="00585AB9">
      <w:pPr>
        <w:pStyle w:val="a3"/>
        <w:spacing w:before="0" w:beforeAutospacing="0" w:after="0" w:afterAutospacing="0" w:line="360" w:lineRule="auto"/>
        <w:ind w:firstLine="567"/>
        <w:jc w:val="both"/>
        <w:rPr>
          <w:lang w:val="en-US"/>
        </w:rPr>
      </w:pPr>
      <w:r>
        <w:rPr>
          <w:b/>
          <w:sz w:val="28"/>
          <w:szCs w:val="28"/>
          <w:lang w:val="en-US"/>
        </w:rPr>
        <w:t>Introduction</w:t>
      </w:r>
    </w:p>
    <w:p w:rsidR="007762C0" w:rsidRPr="00D168CF" w:rsidRDefault="00585AB9">
      <w:pPr>
        <w:pStyle w:val="a3"/>
        <w:spacing w:before="0" w:beforeAutospacing="0" w:after="0" w:afterAutospacing="0" w:line="360" w:lineRule="auto"/>
        <w:ind w:firstLine="567"/>
        <w:jc w:val="both"/>
        <w:rPr>
          <w:lang w:val="en-US"/>
        </w:rPr>
      </w:pPr>
      <w:r>
        <w:rPr>
          <w:sz w:val="28"/>
          <w:szCs w:val="28"/>
          <w:lang w:val="en-US"/>
        </w:rPr>
        <w:t>Social media platforms have become an integral part of daily life for young adults worldwide: students spend an average of 3 to 5 hours per day on them [1, p. 34]. This pervasiveness has generated extensive research on the psychological consequences of social media use (SMU); however, findings remain equivocal, with negative, neutral, and positive associations reported depending on the operationalisation of both SMU and SWB [2, p. 111]. A growing theoretical consensus foregrounds the active-passive SMU dichotomy: passive scrolling and consumption of curated content can trigger upward social comparisons and envy, whereas active communication and self-expression may strengthen social bonds [3, p. 67]. Social comparison orientation (SCO) — a stable individual tendency to evaluate oneself by comparison with others — is theoretically proposed as an important moderator of social media psychological effects [4, p. 89]; however, it is rarely incorporated into studies that simultaneously distinguish passive and active SMU in Russian student samples. The present study tests a moderation model in which SCO moderates the association between passive SMU and SWB.</w:t>
      </w:r>
    </w:p>
    <w:p w:rsidR="007762C0" w:rsidRPr="00D168CF" w:rsidRDefault="007762C0">
      <w:pPr>
        <w:pStyle w:val="a3"/>
        <w:spacing w:before="0" w:beforeAutospacing="0" w:after="0" w:afterAutospacing="0" w:line="360" w:lineRule="auto"/>
        <w:ind w:firstLine="567"/>
        <w:jc w:val="both"/>
        <w:rPr>
          <w:lang w:val="en-US"/>
        </w:rPr>
      </w:pPr>
    </w:p>
    <w:p w:rsidR="007762C0" w:rsidRPr="00D168CF" w:rsidRDefault="00585AB9">
      <w:pPr>
        <w:pStyle w:val="a3"/>
        <w:spacing w:before="0" w:beforeAutospacing="0" w:after="0" w:afterAutospacing="0" w:line="360" w:lineRule="auto"/>
        <w:ind w:firstLine="567"/>
        <w:jc w:val="both"/>
        <w:rPr>
          <w:lang w:val="en-US"/>
        </w:rPr>
      </w:pPr>
      <w:r>
        <w:rPr>
          <w:b/>
          <w:sz w:val="28"/>
          <w:szCs w:val="28"/>
          <w:lang w:val="en-US"/>
        </w:rPr>
        <w:t>Materials and methods</w:t>
      </w:r>
    </w:p>
    <w:p w:rsidR="007762C0" w:rsidRPr="00387289" w:rsidRDefault="00585AB9">
      <w:pPr>
        <w:pStyle w:val="a3"/>
        <w:spacing w:before="0" w:beforeAutospacing="0" w:after="0" w:afterAutospacing="0" w:line="360" w:lineRule="auto"/>
        <w:ind w:firstLine="567"/>
        <w:jc w:val="both"/>
        <w:rPr>
          <w:lang w:val="en-US"/>
        </w:rPr>
      </w:pPr>
      <w:r>
        <w:rPr>
          <w:sz w:val="28"/>
          <w:szCs w:val="28"/>
          <w:lang w:val="en-US"/>
        </w:rPr>
        <w:t xml:space="preserve">A cross-sectional online survey was conducted among full-time students at three Russian universities (Moscow, St Petersburg, and Kazan) in October–December 2025. Recruitment was via university notice boards and social media group announcements; questionnaire completion constituted informed consent. The final analytic sample comprised 624 students (67.1% women; mean age 20.4 years, SD = 1.9; 88.3% undergraduates). SMU was measured by a validated passive-active use scale [5, p. 44]: passive SMU (5 items; alpha = 0.82) and active SMU (5 items; alpha = 0.79). SCO was measured by the 11-item Iowa-Netherlands Comparison Orientation Measure (INCOM; alpha = 0.86) [6, p. 78]. SWB was operationalised as the mean of two components: Satisfaction with Life Scale (SWLS, 5 items; alpha = 0.88) and affect balance (PANAS; alpha = 0.83/0.81) [7, p. 1063]. Hierarchical </w:t>
      </w:r>
      <w:r>
        <w:rPr>
          <w:sz w:val="28"/>
          <w:szCs w:val="28"/>
          <w:lang w:val="en-US"/>
        </w:rPr>
        <w:lastRenderedPageBreak/>
        <w:t>multiple regression was conducted in three blocks: (1) demographic covariates; (2) passive and active SMU; (3) SCO and the passive SMU x SCO product term (centred values). All analyses used IBM SPSS Statistics 27.0 [8, p. 33].</w:t>
      </w:r>
    </w:p>
    <w:p w:rsidR="007762C0" w:rsidRPr="00387289" w:rsidRDefault="007762C0">
      <w:pPr>
        <w:pStyle w:val="a3"/>
        <w:spacing w:before="0" w:beforeAutospacing="0" w:after="0" w:afterAutospacing="0" w:line="360" w:lineRule="auto"/>
        <w:ind w:firstLine="567"/>
        <w:jc w:val="both"/>
        <w:rPr>
          <w:lang w:val="en-US"/>
        </w:rPr>
      </w:pPr>
    </w:p>
    <w:p w:rsidR="007762C0" w:rsidRPr="00387289" w:rsidRDefault="00585AB9">
      <w:pPr>
        <w:pStyle w:val="a3"/>
        <w:spacing w:before="0" w:beforeAutospacing="0" w:after="0" w:afterAutospacing="0" w:line="360" w:lineRule="auto"/>
        <w:ind w:firstLine="567"/>
        <w:jc w:val="both"/>
        <w:rPr>
          <w:lang w:val="en-US"/>
        </w:rPr>
      </w:pPr>
      <w:r>
        <w:rPr>
          <w:b/>
          <w:sz w:val="28"/>
          <w:szCs w:val="28"/>
          <w:lang w:val="en-US"/>
        </w:rPr>
        <w:t>Results and discussion</w:t>
      </w:r>
    </w:p>
    <w:p w:rsidR="007762C0" w:rsidRPr="00D168CF" w:rsidRDefault="00585AB9">
      <w:pPr>
        <w:pStyle w:val="a3"/>
        <w:spacing w:before="0" w:beforeAutospacing="0" w:after="0" w:afterAutospacing="0" w:line="360" w:lineRule="auto"/>
        <w:ind w:firstLine="567"/>
        <w:jc w:val="both"/>
        <w:rPr>
          <w:lang w:val="en-US"/>
        </w:rPr>
      </w:pPr>
      <w:r>
        <w:rPr>
          <w:sz w:val="28"/>
          <w:szCs w:val="28"/>
          <w:lang w:val="en-US"/>
        </w:rPr>
        <w:t>Passive SMU was significantly and negatively associated with SWB in Block 2 (beta = -0.24, SE = 0.04, p &lt; 0.001); active SMU showed no significant main effect (beta = 0.06, p = 0.14). In Block 3, SCO independently and negatively associated with SWB (beta = -0.31, p &lt; 0.001), and the passive SMU x SCO interaction was significant (beta = -0.19, p &lt; 0.01), confirming moderation. Simple slopes analysis showed the negative effect of passive SMU on SWB is substantially stronger for high-SCO students (beta = -0.41, p &lt; 0.001) compared with low-SCO students (beta = -0.11, p &lt; 0.05). The model explained 34.7% of SWB variance (R2 = 0.347). These data extend the findings of Verduyn et al. [3, p. 71] by demonstrating that individual differences in comparison tendency are a significant boundary condition of this effect in a Russian student sample. Figure 1 illustrates simple slopes of passive SMU on SWB at high and low SCO; Table 1 presents the hierarchical regression results.</w:t>
      </w:r>
    </w:p>
    <w:p w:rsidR="00D168CF" w:rsidRPr="00B37E38" w:rsidRDefault="00D168CF" w:rsidP="00D168CF">
      <w:pPr>
        <w:pStyle w:val="a3"/>
        <w:spacing w:before="0" w:beforeAutospacing="0" w:after="0" w:afterAutospacing="0" w:line="360" w:lineRule="auto"/>
        <w:ind w:firstLine="567"/>
        <w:jc w:val="both"/>
        <w:rPr>
          <w:lang w:val="en-US"/>
        </w:rPr>
      </w:pPr>
    </w:p>
    <w:p w:rsidR="007762C0" w:rsidRPr="00D168CF" w:rsidRDefault="00D168CF" w:rsidP="00D168CF">
      <w:pPr>
        <w:pStyle w:val="a3"/>
        <w:spacing w:after="0" w:line="360" w:lineRule="auto"/>
        <w:ind w:firstLine="567"/>
        <w:jc w:val="center"/>
        <w:rPr>
          <w:b/>
          <w:i/>
          <w:sz w:val="28"/>
          <w:szCs w:val="28"/>
        </w:rPr>
      </w:pPr>
      <w:r>
        <w:rPr>
          <w:noProof/>
        </w:rPr>
        <w:drawing>
          <wp:inline distT="0" distB="0" distL="0" distR="0" wp14:anchorId="7D5A23F3" wp14:editId="06221FC3">
            <wp:extent cx="1691640" cy="518160"/>
            <wp:effectExtent l="133350" t="114300" r="156210" b="1676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91640" cy="518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762C0" w:rsidRPr="00D168CF" w:rsidRDefault="00585AB9">
      <w:pPr>
        <w:pStyle w:val="a3"/>
        <w:spacing w:after="0" w:line="360" w:lineRule="auto"/>
        <w:ind w:firstLine="567"/>
        <w:jc w:val="center"/>
        <w:rPr>
          <w:lang w:val="en-US"/>
        </w:rPr>
      </w:pPr>
      <w:proofErr w:type="gramStart"/>
      <w:r>
        <w:rPr>
          <w:b/>
          <w:i/>
          <w:sz w:val="28"/>
          <w:szCs w:val="28"/>
          <w:lang w:val="en-US"/>
        </w:rPr>
        <w:t>Figure 1.</w:t>
      </w:r>
      <w:proofErr w:type="gramEnd"/>
      <w:r>
        <w:rPr>
          <w:b/>
          <w:i/>
          <w:sz w:val="28"/>
          <w:szCs w:val="28"/>
          <w:lang w:val="en-US"/>
        </w:rPr>
        <w:t xml:space="preserve"> Simple slopes of passive social media use on subjective wellbeing at high and low levels of social comparison orientation.</w:t>
      </w:r>
    </w:p>
    <w:p w:rsidR="007762C0" w:rsidRPr="00D168CF" w:rsidRDefault="00585AB9">
      <w:pPr>
        <w:pStyle w:val="a3"/>
        <w:spacing w:before="0" w:beforeAutospacing="0" w:after="0" w:afterAutospacing="0" w:line="360" w:lineRule="auto"/>
        <w:ind w:firstLine="567"/>
        <w:jc w:val="both"/>
        <w:rPr>
          <w:lang w:val="en-US"/>
        </w:rPr>
      </w:pPr>
      <w:r>
        <w:rPr>
          <w:sz w:val="28"/>
          <w:szCs w:val="28"/>
          <w:lang w:val="en-US"/>
        </w:rPr>
        <w:t>[Interaction plot: x-axis — passive SMU score (low to high); y-axis — SWB score. Two lines: High SCO (steep negative slope, beta = -0.41) and Low SCO (shallow negative slope, beta = -0.11). Confidence bands around each line. Legend identifies groups.]</w:t>
      </w:r>
    </w:p>
    <w:p w:rsidR="007762C0" w:rsidRPr="00D168CF" w:rsidRDefault="007762C0">
      <w:pPr>
        <w:pStyle w:val="a3"/>
        <w:spacing w:before="0" w:beforeAutospacing="0" w:after="0" w:afterAutospacing="0" w:line="360" w:lineRule="auto"/>
        <w:ind w:firstLine="567"/>
        <w:jc w:val="center"/>
        <w:rPr>
          <w:lang w:val="en-US"/>
        </w:rPr>
      </w:pPr>
    </w:p>
    <w:p w:rsidR="007762C0" w:rsidRPr="00D168CF" w:rsidRDefault="00585AB9">
      <w:pPr>
        <w:pStyle w:val="a3"/>
        <w:spacing w:before="0" w:beforeAutospacing="0" w:after="0" w:afterAutospacing="0" w:line="360" w:lineRule="auto"/>
        <w:ind w:firstLine="567"/>
        <w:jc w:val="center"/>
        <w:rPr>
          <w:lang w:val="en-US"/>
        </w:rPr>
      </w:pPr>
      <w:proofErr w:type="gramStart"/>
      <w:r>
        <w:rPr>
          <w:b/>
          <w:i/>
          <w:sz w:val="28"/>
          <w:szCs w:val="28"/>
          <w:lang w:val="en-US"/>
        </w:rPr>
        <w:lastRenderedPageBreak/>
        <w:t>Table 1.</w:t>
      </w:r>
      <w:proofErr w:type="gramEnd"/>
      <w:r>
        <w:rPr>
          <w:b/>
          <w:i/>
          <w:sz w:val="28"/>
          <w:szCs w:val="28"/>
          <w:lang w:val="en-US"/>
        </w:rPr>
        <w:t xml:space="preserve"> Hierarchical multiple regression predicting subjective wellbeing (N = 624).</w:t>
      </w:r>
    </w:p>
    <w:p w:rsidR="007762C0" w:rsidRPr="00D168CF" w:rsidRDefault="007762C0">
      <w:pPr>
        <w:pStyle w:val="a3"/>
        <w:spacing w:before="0" w:beforeAutospacing="0" w:after="0" w:afterAutospacing="0" w:line="360" w:lineRule="auto"/>
        <w:ind w:firstLine="567"/>
        <w:jc w:val="center"/>
        <w:rPr>
          <w:lang w:val="en-US"/>
        </w:rPr>
      </w:pPr>
    </w:p>
    <w:tbl>
      <w:tblPr>
        <w:tblStyle w:val="ad"/>
        <w:tblW w:w="0" w:type="auto"/>
        <w:tblLook w:val="04A0" w:firstRow="1" w:lastRow="0" w:firstColumn="1" w:lastColumn="0" w:noHBand="0" w:noVBand="1"/>
      </w:tblPr>
      <w:tblGrid>
        <w:gridCol w:w="3284"/>
        <w:gridCol w:w="3285"/>
        <w:gridCol w:w="3285"/>
      </w:tblGrid>
      <w:tr w:rsidR="007762C0">
        <w:tc>
          <w:tcPr>
            <w:tcW w:w="3284" w:type="dxa"/>
          </w:tcPr>
          <w:p w:rsidR="007762C0" w:rsidRDefault="00585AB9">
            <w:pPr>
              <w:pStyle w:val="a3"/>
              <w:spacing w:before="0" w:beforeAutospacing="0" w:after="0" w:afterAutospacing="0" w:line="360" w:lineRule="auto"/>
              <w:jc w:val="center"/>
            </w:pPr>
            <w:r>
              <w:rPr>
                <w:b/>
                <w:sz w:val="28"/>
                <w:szCs w:val="28"/>
                <w:lang w:val="en-US"/>
              </w:rPr>
              <w:t>Predictor</w:t>
            </w:r>
          </w:p>
        </w:tc>
        <w:tc>
          <w:tcPr>
            <w:tcW w:w="3285" w:type="dxa"/>
          </w:tcPr>
          <w:p w:rsidR="007762C0" w:rsidRDefault="00585AB9">
            <w:pPr>
              <w:pStyle w:val="a3"/>
              <w:spacing w:before="0" w:beforeAutospacing="0" w:after="0" w:afterAutospacing="0" w:line="360" w:lineRule="auto"/>
              <w:jc w:val="center"/>
            </w:pPr>
            <w:r>
              <w:rPr>
                <w:b/>
                <w:sz w:val="28"/>
                <w:szCs w:val="28"/>
                <w:lang w:val="en-US"/>
              </w:rPr>
              <w:t>Block 2 (beta)</w:t>
            </w:r>
          </w:p>
        </w:tc>
        <w:tc>
          <w:tcPr>
            <w:tcW w:w="3285" w:type="dxa"/>
          </w:tcPr>
          <w:p w:rsidR="007762C0" w:rsidRDefault="00585AB9">
            <w:pPr>
              <w:pStyle w:val="a3"/>
              <w:spacing w:before="0" w:beforeAutospacing="0" w:after="0" w:afterAutospacing="0" w:line="360" w:lineRule="auto"/>
              <w:jc w:val="center"/>
            </w:pPr>
            <w:r>
              <w:rPr>
                <w:b/>
                <w:sz w:val="28"/>
                <w:szCs w:val="28"/>
                <w:lang w:val="en-US"/>
              </w:rPr>
              <w:t>Block 3 (beta)</w:t>
            </w:r>
          </w:p>
        </w:tc>
      </w:tr>
      <w:tr w:rsidR="007762C0">
        <w:tc>
          <w:tcPr>
            <w:tcW w:w="3284" w:type="dxa"/>
          </w:tcPr>
          <w:p w:rsidR="007762C0" w:rsidRDefault="00585AB9">
            <w:pPr>
              <w:pStyle w:val="a3"/>
              <w:spacing w:before="0" w:beforeAutospacing="0" w:after="0" w:afterAutospacing="0" w:line="360" w:lineRule="auto"/>
              <w:jc w:val="center"/>
            </w:pPr>
            <w:r>
              <w:rPr>
                <w:sz w:val="28"/>
                <w:szCs w:val="28"/>
                <w:lang w:val="en-US"/>
              </w:rPr>
              <w:t>Passive SMU</w:t>
            </w:r>
          </w:p>
        </w:tc>
        <w:tc>
          <w:tcPr>
            <w:tcW w:w="3285" w:type="dxa"/>
          </w:tcPr>
          <w:p w:rsidR="007762C0" w:rsidRDefault="00585AB9">
            <w:pPr>
              <w:pStyle w:val="a3"/>
              <w:spacing w:before="0" w:beforeAutospacing="0" w:after="0" w:afterAutospacing="0" w:line="360" w:lineRule="auto"/>
              <w:jc w:val="center"/>
            </w:pPr>
            <w:r>
              <w:rPr>
                <w:sz w:val="28"/>
                <w:szCs w:val="28"/>
                <w:lang w:val="en-US"/>
              </w:rPr>
              <w:t>-0.24***</w:t>
            </w:r>
          </w:p>
        </w:tc>
        <w:tc>
          <w:tcPr>
            <w:tcW w:w="3285" w:type="dxa"/>
          </w:tcPr>
          <w:p w:rsidR="007762C0" w:rsidRDefault="00585AB9">
            <w:pPr>
              <w:pStyle w:val="a3"/>
              <w:spacing w:before="0" w:beforeAutospacing="0" w:after="0" w:afterAutospacing="0" w:line="360" w:lineRule="auto"/>
              <w:jc w:val="center"/>
            </w:pPr>
            <w:r>
              <w:rPr>
                <w:sz w:val="28"/>
                <w:szCs w:val="28"/>
                <w:lang w:val="en-US"/>
              </w:rPr>
              <w:t>-0.21***</w:t>
            </w:r>
          </w:p>
        </w:tc>
      </w:tr>
      <w:tr w:rsidR="007762C0">
        <w:tc>
          <w:tcPr>
            <w:tcW w:w="3284" w:type="dxa"/>
          </w:tcPr>
          <w:p w:rsidR="007762C0" w:rsidRDefault="00585AB9">
            <w:pPr>
              <w:pStyle w:val="a3"/>
              <w:spacing w:before="0" w:beforeAutospacing="0" w:after="0" w:afterAutospacing="0" w:line="360" w:lineRule="auto"/>
              <w:jc w:val="center"/>
            </w:pPr>
            <w:r>
              <w:rPr>
                <w:sz w:val="28"/>
                <w:szCs w:val="28"/>
                <w:lang w:val="en-US"/>
              </w:rPr>
              <w:t>Active SMU</w:t>
            </w:r>
          </w:p>
        </w:tc>
        <w:tc>
          <w:tcPr>
            <w:tcW w:w="3285" w:type="dxa"/>
          </w:tcPr>
          <w:p w:rsidR="007762C0" w:rsidRDefault="00585AB9">
            <w:pPr>
              <w:pStyle w:val="a3"/>
              <w:spacing w:before="0" w:beforeAutospacing="0" w:after="0" w:afterAutospacing="0" w:line="360" w:lineRule="auto"/>
              <w:jc w:val="center"/>
            </w:pPr>
            <w:r>
              <w:rPr>
                <w:sz w:val="28"/>
                <w:szCs w:val="28"/>
                <w:lang w:val="en-US"/>
              </w:rPr>
              <w:t>0.06 (ns)</w:t>
            </w:r>
          </w:p>
        </w:tc>
        <w:tc>
          <w:tcPr>
            <w:tcW w:w="3285" w:type="dxa"/>
          </w:tcPr>
          <w:p w:rsidR="007762C0" w:rsidRDefault="00585AB9">
            <w:pPr>
              <w:pStyle w:val="a3"/>
              <w:spacing w:before="0" w:beforeAutospacing="0" w:after="0" w:afterAutospacing="0" w:line="360" w:lineRule="auto"/>
              <w:jc w:val="center"/>
            </w:pPr>
            <w:r>
              <w:rPr>
                <w:sz w:val="28"/>
                <w:szCs w:val="28"/>
                <w:lang w:val="en-US"/>
              </w:rPr>
              <w:t>0.05 (ns)</w:t>
            </w:r>
          </w:p>
        </w:tc>
      </w:tr>
      <w:tr w:rsidR="007762C0">
        <w:tc>
          <w:tcPr>
            <w:tcW w:w="3284" w:type="dxa"/>
          </w:tcPr>
          <w:p w:rsidR="007762C0" w:rsidRDefault="00585AB9">
            <w:pPr>
              <w:pStyle w:val="a3"/>
              <w:spacing w:before="0" w:beforeAutospacing="0" w:after="0" w:afterAutospacing="0" w:line="360" w:lineRule="auto"/>
              <w:jc w:val="center"/>
            </w:pPr>
            <w:r>
              <w:rPr>
                <w:sz w:val="28"/>
                <w:szCs w:val="28"/>
                <w:lang w:val="en-US"/>
              </w:rPr>
              <w:t>SCO</w:t>
            </w:r>
          </w:p>
        </w:tc>
        <w:tc>
          <w:tcPr>
            <w:tcW w:w="3285" w:type="dxa"/>
          </w:tcPr>
          <w:p w:rsidR="007762C0" w:rsidRDefault="00585AB9">
            <w:pPr>
              <w:pStyle w:val="a3"/>
              <w:spacing w:before="0" w:beforeAutospacing="0" w:after="0" w:afterAutospacing="0" w:line="360" w:lineRule="auto"/>
              <w:jc w:val="center"/>
            </w:pPr>
            <w:r>
              <w:rPr>
                <w:sz w:val="28"/>
                <w:szCs w:val="28"/>
                <w:lang w:val="en-US"/>
              </w:rPr>
              <w:t>—</w:t>
            </w:r>
          </w:p>
        </w:tc>
        <w:tc>
          <w:tcPr>
            <w:tcW w:w="3285" w:type="dxa"/>
          </w:tcPr>
          <w:p w:rsidR="007762C0" w:rsidRDefault="00585AB9">
            <w:pPr>
              <w:pStyle w:val="a3"/>
              <w:spacing w:before="0" w:beforeAutospacing="0" w:after="0" w:afterAutospacing="0" w:line="360" w:lineRule="auto"/>
              <w:jc w:val="center"/>
            </w:pPr>
            <w:r>
              <w:rPr>
                <w:sz w:val="28"/>
                <w:szCs w:val="28"/>
                <w:lang w:val="en-US"/>
              </w:rPr>
              <w:t>-0.31***</w:t>
            </w:r>
          </w:p>
        </w:tc>
      </w:tr>
      <w:tr w:rsidR="007762C0">
        <w:tc>
          <w:tcPr>
            <w:tcW w:w="3284" w:type="dxa"/>
          </w:tcPr>
          <w:p w:rsidR="007762C0" w:rsidRDefault="00585AB9">
            <w:pPr>
              <w:pStyle w:val="a3"/>
              <w:spacing w:before="0" w:beforeAutospacing="0" w:after="0" w:afterAutospacing="0" w:line="360" w:lineRule="auto"/>
              <w:jc w:val="center"/>
            </w:pPr>
            <w:r>
              <w:rPr>
                <w:sz w:val="28"/>
                <w:szCs w:val="28"/>
                <w:lang w:val="en-US"/>
              </w:rPr>
              <w:t>Passive SMU x SCO</w:t>
            </w:r>
          </w:p>
        </w:tc>
        <w:tc>
          <w:tcPr>
            <w:tcW w:w="3285" w:type="dxa"/>
          </w:tcPr>
          <w:p w:rsidR="007762C0" w:rsidRDefault="00585AB9">
            <w:pPr>
              <w:pStyle w:val="a3"/>
              <w:spacing w:before="0" w:beforeAutospacing="0" w:after="0" w:afterAutospacing="0" w:line="360" w:lineRule="auto"/>
              <w:jc w:val="center"/>
            </w:pPr>
            <w:r>
              <w:rPr>
                <w:sz w:val="28"/>
                <w:szCs w:val="28"/>
                <w:lang w:val="en-US"/>
              </w:rPr>
              <w:t>—</w:t>
            </w:r>
          </w:p>
        </w:tc>
        <w:tc>
          <w:tcPr>
            <w:tcW w:w="3285" w:type="dxa"/>
          </w:tcPr>
          <w:p w:rsidR="007762C0" w:rsidRDefault="00585AB9">
            <w:pPr>
              <w:pStyle w:val="a3"/>
              <w:spacing w:before="0" w:beforeAutospacing="0" w:after="0" w:afterAutospacing="0" w:line="360" w:lineRule="auto"/>
              <w:jc w:val="center"/>
            </w:pPr>
            <w:r>
              <w:rPr>
                <w:sz w:val="28"/>
                <w:szCs w:val="28"/>
                <w:lang w:val="en-US"/>
              </w:rPr>
              <w:t>-0.19**</w:t>
            </w:r>
          </w:p>
        </w:tc>
      </w:tr>
    </w:tbl>
    <w:p w:rsidR="007762C0" w:rsidRDefault="007762C0">
      <w:pPr>
        <w:pStyle w:val="a3"/>
        <w:spacing w:before="0" w:beforeAutospacing="0" w:after="0" w:afterAutospacing="0" w:line="360" w:lineRule="auto"/>
        <w:ind w:firstLine="567"/>
        <w:jc w:val="center"/>
      </w:pPr>
    </w:p>
    <w:p w:rsidR="007762C0" w:rsidRDefault="00585AB9">
      <w:pPr>
        <w:pStyle w:val="a3"/>
        <w:spacing w:before="0" w:beforeAutospacing="0" w:after="0" w:afterAutospacing="0" w:line="360" w:lineRule="auto"/>
        <w:ind w:firstLine="567"/>
        <w:jc w:val="both"/>
      </w:pPr>
      <w:r>
        <w:rPr>
          <w:b/>
          <w:sz w:val="28"/>
          <w:szCs w:val="28"/>
          <w:lang w:val="en-US"/>
        </w:rPr>
        <w:t>Conclusion</w:t>
      </w:r>
    </w:p>
    <w:p w:rsidR="007762C0" w:rsidRDefault="00585AB9">
      <w:pPr>
        <w:pStyle w:val="a3"/>
        <w:spacing w:before="0" w:beforeAutospacing="0" w:after="0" w:afterAutospacing="0" w:line="360" w:lineRule="auto"/>
        <w:ind w:firstLine="567"/>
        <w:jc w:val="both"/>
      </w:pPr>
      <w:r>
        <w:rPr>
          <w:sz w:val="28"/>
          <w:szCs w:val="28"/>
          <w:lang w:val="en-US"/>
        </w:rPr>
        <w:t>Passive social media use is associated with reduced subjective wellbeing among Russian university students, and this association is substantially amplified among individuals with high social comparison orientation. Active SMU showed no significant effect in either direction. The findings have practical implications for digital wellbeing programmes: screening for high SCO may help identify students most vulnerable to negative social media consequences, while targeted recommendations to shift from passive to active use may serve as a preventive strategy. Study limitations include the cross-sectional design and self-report SMU operationalisation. Longitudinal experimental studies are needed to establish causality.</w:t>
      </w:r>
    </w:p>
    <w:p w:rsidR="007762C0" w:rsidRDefault="007762C0">
      <w:pPr>
        <w:pStyle w:val="a3"/>
        <w:spacing w:before="0" w:beforeAutospacing="0" w:after="0" w:afterAutospacing="0" w:line="360" w:lineRule="auto"/>
        <w:ind w:firstLine="567"/>
        <w:jc w:val="both"/>
      </w:pPr>
    </w:p>
    <w:p w:rsidR="007762C0" w:rsidRDefault="00585AB9">
      <w:pPr>
        <w:pStyle w:val="a3"/>
        <w:spacing w:before="0" w:beforeAutospacing="0" w:after="0" w:afterAutospacing="0" w:line="360" w:lineRule="auto"/>
        <w:ind w:firstLine="567"/>
        <w:jc w:val="both"/>
      </w:pPr>
      <w:r>
        <w:rPr>
          <w:rStyle w:val="a4"/>
          <w:sz w:val="28"/>
          <w:szCs w:val="28"/>
          <w:lang w:val="en-US"/>
        </w:rPr>
        <w:t>References:</w:t>
      </w:r>
    </w:p>
    <w:p w:rsidR="00D168CF" w:rsidRPr="00D168CF" w:rsidRDefault="00D168C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Andreassen C.S. Online social network site addiction: a comprehensive review // Current Addiction Reports. 2015. Vol. 2, no. 2. </w:t>
      </w:r>
      <w:bookmarkStart w:id="0" w:name="_GoBack"/>
      <w:bookmarkEnd w:id="0"/>
      <w:r w:rsidRPr="00D168CF">
        <w:rPr>
          <w:sz w:val="28"/>
          <w:szCs w:val="28"/>
          <w:lang w:val="en-US"/>
        </w:rPr>
        <w:t>pp. 34–41.</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Belova</w:t>
      </w:r>
      <w:proofErr w:type="spellEnd"/>
      <w:r w:rsidRPr="00D168CF">
        <w:rPr>
          <w:sz w:val="28"/>
          <w:szCs w:val="28"/>
          <w:lang w:val="en-US"/>
        </w:rPr>
        <w:t xml:space="preserve"> T.N. [The situation on the dairy "front" during the sanctions period] // </w:t>
      </w:r>
      <w:proofErr w:type="spellStart"/>
      <w:r w:rsidRPr="00D168CF">
        <w:rPr>
          <w:sz w:val="28"/>
          <w:szCs w:val="28"/>
          <w:lang w:val="en-US"/>
        </w:rPr>
        <w:t>Ekonomist</w:t>
      </w:r>
      <w:proofErr w:type="spellEnd"/>
      <w:r w:rsidRPr="00D168CF">
        <w:rPr>
          <w:sz w:val="28"/>
          <w:szCs w:val="28"/>
          <w:lang w:val="en-US"/>
        </w:rPr>
        <w:t>. 2015. No. 4. pp. 84-91. (In Russ.)</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Golubyatnikov</w:t>
      </w:r>
      <w:proofErr w:type="spellEnd"/>
      <w:r w:rsidRPr="00D168CF">
        <w:rPr>
          <w:sz w:val="28"/>
          <w:szCs w:val="28"/>
          <w:lang w:val="en-US"/>
        </w:rPr>
        <w:t xml:space="preserve"> I.V. [Design of automated information processing and control systems: a textbook]. Moscow: </w:t>
      </w:r>
      <w:proofErr w:type="spellStart"/>
      <w:r w:rsidRPr="00D168CF">
        <w:rPr>
          <w:sz w:val="28"/>
          <w:szCs w:val="28"/>
          <w:lang w:val="en-US"/>
        </w:rPr>
        <w:t>Mashinostroenie</w:t>
      </w:r>
      <w:proofErr w:type="spellEnd"/>
      <w:r w:rsidRPr="00D168CF">
        <w:rPr>
          <w:sz w:val="28"/>
          <w:szCs w:val="28"/>
          <w:lang w:val="en-US"/>
        </w:rPr>
        <w:t>, 2022. 312 p. (In Russ.)</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lastRenderedPageBreak/>
        <w:t>Emelyanov</w:t>
      </w:r>
      <w:proofErr w:type="spellEnd"/>
      <w:r w:rsidRPr="00D168CF">
        <w:rPr>
          <w:sz w:val="28"/>
          <w:szCs w:val="28"/>
          <w:lang w:val="en-US"/>
        </w:rPr>
        <w:t xml:space="preserve"> S.V. [Optimization methods for routing algorithms in high-load computing networks] // </w:t>
      </w:r>
      <w:proofErr w:type="spellStart"/>
      <w:r w:rsidRPr="00D168CF">
        <w:rPr>
          <w:sz w:val="28"/>
          <w:szCs w:val="28"/>
          <w:lang w:val="en-US"/>
        </w:rPr>
        <w:t>Informatsionnye</w:t>
      </w:r>
      <w:proofErr w:type="spellEnd"/>
      <w:r w:rsidRPr="00D168CF">
        <w:rPr>
          <w:sz w:val="28"/>
          <w:szCs w:val="28"/>
          <w:lang w:val="en-US"/>
        </w:rPr>
        <w:t xml:space="preserve"> </w:t>
      </w:r>
      <w:proofErr w:type="spellStart"/>
      <w:r w:rsidRPr="00D168CF">
        <w:rPr>
          <w:sz w:val="28"/>
          <w:szCs w:val="28"/>
          <w:lang w:val="en-US"/>
        </w:rPr>
        <w:t>tekhnologii</w:t>
      </w:r>
      <w:proofErr w:type="spellEnd"/>
      <w:r w:rsidRPr="00D168CF">
        <w:rPr>
          <w:sz w:val="28"/>
          <w:szCs w:val="28"/>
          <w:lang w:val="en-US"/>
        </w:rPr>
        <w:t>. 2024. Vol. 30. No. 2. pp. 67-78. (In Russ.)</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Portal </w:t>
      </w:r>
      <w:proofErr w:type="spellStart"/>
      <w:r w:rsidRPr="00D168CF">
        <w:rPr>
          <w:sz w:val="28"/>
          <w:szCs w:val="28"/>
          <w:lang w:val="en-US"/>
        </w:rPr>
        <w:t>Ministerstva</w:t>
      </w:r>
      <w:proofErr w:type="spellEnd"/>
      <w:r w:rsidRPr="00D168CF">
        <w:rPr>
          <w:sz w:val="28"/>
          <w:szCs w:val="28"/>
          <w:lang w:val="en-US"/>
        </w:rPr>
        <w:t xml:space="preserve"> </w:t>
      </w:r>
      <w:proofErr w:type="spellStart"/>
      <w:r w:rsidRPr="00D168CF">
        <w:rPr>
          <w:sz w:val="28"/>
          <w:szCs w:val="28"/>
          <w:lang w:val="en-US"/>
        </w:rPr>
        <w:t>tsifrovogo</w:t>
      </w:r>
      <w:proofErr w:type="spellEnd"/>
      <w:r w:rsidRPr="00D168CF">
        <w:rPr>
          <w:sz w:val="28"/>
          <w:szCs w:val="28"/>
          <w:lang w:val="en-US"/>
        </w:rPr>
        <w:t xml:space="preserve"> </w:t>
      </w:r>
      <w:proofErr w:type="spellStart"/>
      <w:r w:rsidRPr="00D168CF">
        <w:rPr>
          <w:sz w:val="28"/>
          <w:szCs w:val="28"/>
          <w:lang w:val="en-US"/>
        </w:rPr>
        <w:t>razvitiya</w:t>
      </w:r>
      <w:proofErr w:type="spellEnd"/>
      <w:r w:rsidRPr="00D168CF">
        <w:rPr>
          <w:sz w:val="28"/>
          <w:szCs w:val="28"/>
          <w:lang w:val="en-US"/>
        </w:rPr>
        <w:t xml:space="preserve">, </w:t>
      </w:r>
      <w:proofErr w:type="spellStart"/>
      <w:r w:rsidRPr="00D168CF">
        <w:rPr>
          <w:sz w:val="28"/>
          <w:szCs w:val="28"/>
          <w:lang w:val="en-US"/>
        </w:rPr>
        <w:t>svyazi</w:t>
      </w:r>
      <w:proofErr w:type="spellEnd"/>
      <w:r w:rsidRPr="00D168CF">
        <w:rPr>
          <w:sz w:val="28"/>
          <w:szCs w:val="28"/>
          <w:lang w:val="en-US"/>
        </w:rPr>
        <w:t xml:space="preserve"> </w:t>
      </w:r>
      <w:proofErr w:type="spellStart"/>
      <w:r w:rsidRPr="00D168CF">
        <w:rPr>
          <w:sz w:val="28"/>
          <w:szCs w:val="28"/>
          <w:lang w:val="en-US"/>
        </w:rPr>
        <w:t>i</w:t>
      </w:r>
      <w:proofErr w:type="spellEnd"/>
      <w:r w:rsidRPr="00D168CF">
        <w:rPr>
          <w:sz w:val="28"/>
          <w:szCs w:val="28"/>
          <w:lang w:val="en-US"/>
        </w:rPr>
        <w:t xml:space="preserve"> </w:t>
      </w:r>
      <w:proofErr w:type="spellStart"/>
      <w:r w:rsidRPr="00D168CF">
        <w:rPr>
          <w:sz w:val="28"/>
          <w:szCs w:val="28"/>
          <w:lang w:val="en-US"/>
        </w:rPr>
        <w:t>massovykh</w:t>
      </w:r>
      <w:proofErr w:type="spellEnd"/>
      <w:r w:rsidRPr="00D168CF">
        <w:rPr>
          <w:sz w:val="28"/>
          <w:szCs w:val="28"/>
          <w:lang w:val="en-US"/>
        </w:rPr>
        <w:t xml:space="preserve"> </w:t>
      </w:r>
      <w:proofErr w:type="spellStart"/>
      <w:r w:rsidRPr="00D168CF">
        <w:rPr>
          <w:sz w:val="28"/>
          <w:szCs w:val="28"/>
          <w:lang w:val="en-US"/>
        </w:rPr>
        <w:t>kommunikatsiy</w:t>
      </w:r>
      <w:proofErr w:type="spellEnd"/>
      <w:r w:rsidRPr="00D168CF">
        <w:rPr>
          <w:sz w:val="28"/>
          <w:szCs w:val="28"/>
          <w:lang w:val="en-US"/>
        </w:rPr>
        <w:t xml:space="preserve"> RF. [Registry of domestic software] [Electronic resource] – URL: https://digital.gov.ru/ru/activity/govservices/registry (accessed 27.05.2026). (In Russ.)</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D168CF">
        <w:rPr>
          <w:sz w:val="28"/>
          <w:szCs w:val="28"/>
          <w:lang w:val="en-US"/>
        </w:rPr>
        <w:t>Sokolov</w:t>
      </w:r>
      <w:proofErr w:type="spellEnd"/>
      <w:r w:rsidRPr="00D168CF">
        <w:rPr>
          <w:sz w:val="28"/>
          <w:szCs w:val="28"/>
          <w:lang w:val="en-US"/>
        </w:rPr>
        <w:t xml:space="preserve"> I.A. [Architecture development for distributed big data storage systems: a monograph]. Saint Petersburg: </w:t>
      </w:r>
      <w:proofErr w:type="spellStart"/>
      <w:r w:rsidRPr="00D168CF">
        <w:rPr>
          <w:sz w:val="28"/>
          <w:szCs w:val="28"/>
          <w:lang w:val="en-US"/>
        </w:rPr>
        <w:t>Nauka</w:t>
      </w:r>
      <w:proofErr w:type="spellEnd"/>
      <w:r w:rsidRPr="00D168CF">
        <w:rPr>
          <w:sz w:val="28"/>
          <w:szCs w:val="28"/>
          <w:lang w:val="en-US"/>
        </w:rPr>
        <w:t>, 2023. 245 p. (In Russ.)</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Russell S., </w:t>
      </w:r>
      <w:proofErr w:type="spellStart"/>
      <w:r w:rsidRPr="00D168CF">
        <w:rPr>
          <w:sz w:val="28"/>
          <w:szCs w:val="28"/>
          <w:lang w:val="en-US"/>
        </w:rPr>
        <w:t>Norvig</w:t>
      </w:r>
      <w:proofErr w:type="spellEnd"/>
      <w:r w:rsidRPr="00D168CF">
        <w:rPr>
          <w:sz w:val="28"/>
          <w:szCs w:val="28"/>
          <w:lang w:val="en-US"/>
        </w:rPr>
        <w:t xml:space="preserve"> P. Artificial Intelligence: A Modern Approach // New Jersey: Prentice Hall. 2020. 1166 p.</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Tanenbaum A.S., </w:t>
      </w:r>
      <w:proofErr w:type="spellStart"/>
      <w:r w:rsidRPr="00D168CF">
        <w:rPr>
          <w:sz w:val="28"/>
          <w:szCs w:val="28"/>
          <w:lang w:val="en-US"/>
        </w:rPr>
        <w:t>Wetherall</w:t>
      </w:r>
      <w:proofErr w:type="spellEnd"/>
      <w:r w:rsidRPr="00D168CF">
        <w:rPr>
          <w:sz w:val="28"/>
          <w:szCs w:val="28"/>
          <w:lang w:val="en-US"/>
        </w:rPr>
        <w:t xml:space="preserve"> D.J. Computer Networks // Pearson. 2019. Vol. 6. No. 1. pp. 142-158.</w:t>
      </w:r>
    </w:p>
    <w:p w:rsidR="00D168CF" w:rsidRPr="00D168CF" w:rsidRDefault="00D168CF" w:rsidP="00D168CF">
      <w:pPr>
        <w:pStyle w:val="a3"/>
        <w:numPr>
          <w:ilvl w:val="0"/>
          <w:numId w:val="3"/>
        </w:numPr>
        <w:spacing w:before="0" w:beforeAutospacing="0" w:after="0" w:afterAutospacing="0" w:line="360" w:lineRule="auto"/>
        <w:ind w:left="0" w:firstLine="567"/>
        <w:jc w:val="both"/>
        <w:rPr>
          <w:sz w:val="28"/>
          <w:szCs w:val="28"/>
          <w:lang w:val="en-US"/>
        </w:rPr>
      </w:pPr>
      <w:r w:rsidRPr="00D168CF">
        <w:rPr>
          <w:sz w:val="28"/>
          <w:szCs w:val="28"/>
          <w:lang w:val="en-US"/>
        </w:rPr>
        <w:t xml:space="preserve">IEEE </w:t>
      </w:r>
      <w:proofErr w:type="spellStart"/>
      <w:r w:rsidRPr="00D168CF">
        <w:rPr>
          <w:sz w:val="28"/>
          <w:szCs w:val="28"/>
          <w:lang w:val="en-US"/>
        </w:rPr>
        <w:t>Xplore</w:t>
      </w:r>
      <w:proofErr w:type="spellEnd"/>
      <w:r w:rsidRPr="00D168CF">
        <w:rPr>
          <w:sz w:val="28"/>
          <w:szCs w:val="28"/>
          <w:lang w:val="en-US"/>
        </w:rPr>
        <w:t xml:space="preserve"> Digital Library. Advanced Algorithms for Data Emulsion [Electronic resource] – URL: https://ieeexplore.ieee.org/document/algorithmic-emulsion (accessed 27.05.2026)</w:t>
      </w:r>
    </w:p>
    <w:sectPr w:rsidR="00D168CF" w:rsidRPr="00D168C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7F" w:rsidRDefault="003B527F" w:rsidP="0072153F">
      <w:pPr>
        <w:spacing w:after="0" w:line="240" w:lineRule="auto"/>
      </w:pPr>
      <w:r>
        <w:separator/>
      </w:r>
    </w:p>
  </w:endnote>
  <w:endnote w:type="continuationSeparator" w:id="0">
    <w:p w:rsidR="003B527F" w:rsidRDefault="003B527F"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7F" w:rsidRDefault="003B527F" w:rsidP="0072153F">
      <w:pPr>
        <w:spacing w:after="0" w:line="240" w:lineRule="auto"/>
      </w:pPr>
      <w:r>
        <w:separator/>
      </w:r>
    </w:p>
  </w:footnote>
  <w:footnote w:type="continuationSeparator" w:id="0">
    <w:p w:rsidR="003B527F" w:rsidRDefault="003B527F"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63FCE"/>
    <w:multiLevelType w:val="hybridMultilevel"/>
    <w:tmpl w:val="EE885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101737"/>
    <w:rsid w:val="00113985"/>
    <w:rsid w:val="0014524E"/>
    <w:rsid w:val="00151215"/>
    <w:rsid w:val="00165C7C"/>
    <w:rsid w:val="0017264F"/>
    <w:rsid w:val="001A7699"/>
    <w:rsid w:val="002201D7"/>
    <w:rsid w:val="00221F0D"/>
    <w:rsid w:val="00256BD5"/>
    <w:rsid w:val="002643AF"/>
    <w:rsid w:val="00273340"/>
    <w:rsid w:val="00287C4F"/>
    <w:rsid w:val="002D245D"/>
    <w:rsid w:val="002D6583"/>
    <w:rsid w:val="00312244"/>
    <w:rsid w:val="003408B7"/>
    <w:rsid w:val="003647DE"/>
    <w:rsid w:val="00387289"/>
    <w:rsid w:val="003B527F"/>
    <w:rsid w:val="003E170A"/>
    <w:rsid w:val="003E5264"/>
    <w:rsid w:val="003F64A7"/>
    <w:rsid w:val="004470FA"/>
    <w:rsid w:val="00495577"/>
    <w:rsid w:val="00533893"/>
    <w:rsid w:val="005414AB"/>
    <w:rsid w:val="00550EF4"/>
    <w:rsid w:val="00553E19"/>
    <w:rsid w:val="00572407"/>
    <w:rsid w:val="00585AB9"/>
    <w:rsid w:val="00597F6F"/>
    <w:rsid w:val="005A0FCF"/>
    <w:rsid w:val="005A55AD"/>
    <w:rsid w:val="005F2660"/>
    <w:rsid w:val="00605990"/>
    <w:rsid w:val="006340C2"/>
    <w:rsid w:val="00646555"/>
    <w:rsid w:val="00650DFC"/>
    <w:rsid w:val="00667C08"/>
    <w:rsid w:val="00674D11"/>
    <w:rsid w:val="0068543B"/>
    <w:rsid w:val="006A46BF"/>
    <w:rsid w:val="006C3415"/>
    <w:rsid w:val="0072153F"/>
    <w:rsid w:val="00735ADA"/>
    <w:rsid w:val="007762C0"/>
    <w:rsid w:val="00780309"/>
    <w:rsid w:val="00790D62"/>
    <w:rsid w:val="007E0BFE"/>
    <w:rsid w:val="007F0AEB"/>
    <w:rsid w:val="008202D6"/>
    <w:rsid w:val="0085057A"/>
    <w:rsid w:val="00850A2E"/>
    <w:rsid w:val="008946B6"/>
    <w:rsid w:val="008D1FC2"/>
    <w:rsid w:val="008D64B4"/>
    <w:rsid w:val="00922A1B"/>
    <w:rsid w:val="00946981"/>
    <w:rsid w:val="009523FF"/>
    <w:rsid w:val="009B7733"/>
    <w:rsid w:val="009C2BD9"/>
    <w:rsid w:val="00A06D28"/>
    <w:rsid w:val="00AC2E61"/>
    <w:rsid w:val="00AF1D73"/>
    <w:rsid w:val="00AF324E"/>
    <w:rsid w:val="00B25146"/>
    <w:rsid w:val="00B44A8C"/>
    <w:rsid w:val="00B4704B"/>
    <w:rsid w:val="00B57E92"/>
    <w:rsid w:val="00B61EC1"/>
    <w:rsid w:val="00B96E3F"/>
    <w:rsid w:val="00BA0001"/>
    <w:rsid w:val="00BB7777"/>
    <w:rsid w:val="00C258FC"/>
    <w:rsid w:val="00C40501"/>
    <w:rsid w:val="00C62C75"/>
    <w:rsid w:val="00C82BE0"/>
    <w:rsid w:val="00D168CF"/>
    <w:rsid w:val="00D26FB3"/>
    <w:rsid w:val="00D82DF8"/>
    <w:rsid w:val="00D9395C"/>
    <w:rsid w:val="00D96060"/>
    <w:rsid w:val="00DE74A0"/>
    <w:rsid w:val="00E17DCF"/>
    <w:rsid w:val="00E24DE3"/>
    <w:rsid w:val="00E33732"/>
    <w:rsid w:val="00E3588A"/>
    <w:rsid w:val="00E5783E"/>
    <w:rsid w:val="00E57855"/>
    <w:rsid w:val="00E672B9"/>
    <w:rsid w:val="00EA5B65"/>
    <w:rsid w:val="00EB32C2"/>
    <w:rsid w:val="00EE624A"/>
    <w:rsid w:val="00F20382"/>
    <w:rsid w:val="00F44D0D"/>
    <w:rsid w:val="00F54D2D"/>
    <w:rsid w:val="00F86B5A"/>
    <w:rsid w:val="00FA1D3E"/>
    <w:rsid w:val="00FA4181"/>
    <w:rsid w:val="00FC3B43"/>
    <w:rsid w:val="00FC401F"/>
    <w:rsid w:val="00FD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20</cp:revision>
  <dcterms:created xsi:type="dcterms:W3CDTF">2026-05-07T12:16:00Z</dcterms:created>
  <dcterms:modified xsi:type="dcterms:W3CDTF">2026-05-27T14:42:00Z</dcterms:modified>
</cp:coreProperties>
</file>