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4A0" w:rsidRPr="00A512F4" w:rsidRDefault="007D6049">
      <w:pPr>
        <w:spacing w:after="0" w:line="360" w:lineRule="auto"/>
        <w:ind w:firstLine="567"/>
        <w:jc w:val="right"/>
        <w:rPr>
          <w:lang w:val="en-US"/>
        </w:rPr>
      </w:pPr>
      <w:r>
        <w:rPr>
          <w:rFonts w:ascii="Times New Roman" w:hAnsi="Times New Roman" w:cs="Times New Roman"/>
          <w:b/>
          <w:bCs/>
          <w:sz w:val="24"/>
          <w:szCs w:val="24"/>
          <w:lang w:val="en-US"/>
        </w:rPr>
        <w:t xml:space="preserve">Received: </w:t>
      </w:r>
      <w:r>
        <w:rPr>
          <w:rFonts w:ascii="Times New Roman" w:hAnsi="Times New Roman" w:cs="Times New Roman"/>
          <w:b/>
          <w:bCs/>
          <w:color w:val="FF0000"/>
          <w:sz w:val="24"/>
          <w:szCs w:val="24"/>
          <w:lang w:val="en-US"/>
        </w:rPr>
        <w:t>09.04.2026</w:t>
      </w:r>
    </w:p>
    <w:p w:rsidR="00B214A0" w:rsidRPr="00A512F4" w:rsidRDefault="007D6049">
      <w:pPr>
        <w:spacing w:after="0" w:line="360" w:lineRule="auto"/>
        <w:ind w:firstLine="567"/>
        <w:jc w:val="right"/>
        <w:rPr>
          <w:lang w:val="en-US"/>
        </w:rPr>
      </w:pPr>
      <w:r>
        <w:rPr>
          <w:rFonts w:ascii="Times New Roman" w:hAnsi="Times New Roman" w:cs="Times New Roman"/>
          <w:b/>
          <w:bCs/>
          <w:sz w:val="24"/>
          <w:szCs w:val="24"/>
          <w:lang w:val="en-US"/>
        </w:rPr>
        <w:t xml:space="preserve">Accepted: </w:t>
      </w:r>
      <w:r>
        <w:rPr>
          <w:rFonts w:ascii="Times New Roman" w:hAnsi="Times New Roman" w:cs="Times New Roman"/>
          <w:b/>
          <w:bCs/>
          <w:color w:val="FF0000"/>
          <w:sz w:val="24"/>
          <w:szCs w:val="24"/>
          <w:lang w:val="en-US"/>
        </w:rPr>
        <w:t>17.04.2026</w:t>
      </w:r>
    </w:p>
    <w:p w:rsidR="00B214A0" w:rsidRPr="00A512F4" w:rsidRDefault="007D6049">
      <w:pPr>
        <w:spacing w:after="0" w:line="360" w:lineRule="auto"/>
        <w:ind w:firstLine="567"/>
        <w:jc w:val="right"/>
        <w:rPr>
          <w:lang w:val="en-US"/>
        </w:rPr>
      </w:pPr>
      <w:r>
        <w:rPr>
          <w:rFonts w:ascii="Times New Roman" w:hAnsi="Times New Roman" w:cs="Times New Roman"/>
          <w:b/>
          <w:bCs/>
          <w:sz w:val="24"/>
          <w:szCs w:val="24"/>
          <w:lang w:val="en-US"/>
        </w:rPr>
        <w:t xml:space="preserve">Published: </w:t>
      </w:r>
      <w:r>
        <w:rPr>
          <w:rFonts w:ascii="Times New Roman" w:hAnsi="Times New Roman" w:cs="Times New Roman"/>
          <w:b/>
          <w:bCs/>
          <w:color w:val="FF0000"/>
          <w:sz w:val="24"/>
          <w:szCs w:val="24"/>
          <w:lang w:val="en-US"/>
        </w:rPr>
        <w:t>11.05.2026</w:t>
      </w:r>
    </w:p>
    <w:p w:rsidR="00B214A0" w:rsidRPr="00A512F4" w:rsidRDefault="00B214A0">
      <w:pPr>
        <w:pStyle w:val="a3"/>
        <w:spacing w:before="0" w:beforeAutospacing="0" w:after="0" w:afterAutospacing="0" w:line="360" w:lineRule="auto"/>
        <w:ind w:firstLine="567"/>
        <w:jc w:val="right"/>
        <w:rPr>
          <w:lang w:val="en-US"/>
        </w:rPr>
      </w:pPr>
    </w:p>
    <w:p w:rsidR="00B214A0" w:rsidRPr="00A512F4" w:rsidRDefault="007D6049">
      <w:pPr>
        <w:pStyle w:val="a3"/>
        <w:spacing w:before="0" w:beforeAutospacing="0" w:after="0" w:afterAutospacing="0" w:line="360" w:lineRule="auto"/>
        <w:ind w:firstLine="567"/>
        <w:rPr>
          <w:lang w:val="en-US"/>
        </w:rPr>
      </w:pPr>
      <w:r>
        <w:rPr>
          <w:rStyle w:val="a4"/>
          <w:sz w:val="28"/>
          <w:szCs w:val="28"/>
        </w:rPr>
        <w:t>УДК</w:t>
      </w:r>
      <w:r>
        <w:rPr>
          <w:rStyle w:val="a4"/>
          <w:sz w:val="28"/>
          <w:szCs w:val="28"/>
          <w:lang w:val="en-US"/>
        </w:rPr>
        <w:t xml:space="preserve"> </w:t>
      </w:r>
      <w:r>
        <w:rPr>
          <w:rStyle w:val="a4"/>
          <w:b w:val="0"/>
          <w:sz w:val="28"/>
          <w:szCs w:val="28"/>
          <w:lang w:val="en-US"/>
        </w:rPr>
        <w:t>616.24</w:t>
      </w:r>
    </w:p>
    <w:p w:rsidR="00B214A0" w:rsidRPr="00A512F4" w:rsidRDefault="00B214A0">
      <w:pPr>
        <w:pStyle w:val="a3"/>
        <w:spacing w:before="0" w:beforeAutospacing="0" w:after="0" w:afterAutospacing="0" w:line="360" w:lineRule="auto"/>
        <w:ind w:firstLine="567"/>
        <w:jc w:val="center"/>
        <w:rPr>
          <w:lang w:val="en-US"/>
        </w:rPr>
      </w:pPr>
    </w:p>
    <w:p w:rsidR="00B214A0" w:rsidRPr="00A512F4" w:rsidRDefault="007D6049">
      <w:pPr>
        <w:pStyle w:val="a3"/>
        <w:spacing w:before="0" w:beforeAutospacing="0" w:after="0" w:afterAutospacing="0" w:line="360" w:lineRule="auto"/>
        <w:ind w:firstLine="567"/>
        <w:jc w:val="center"/>
        <w:rPr>
          <w:lang w:val="en-US"/>
        </w:rPr>
      </w:pPr>
      <w:r>
        <w:rPr>
          <w:rStyle w:val="a4"/>
          <w:sz w:val="28"/>
          <w:szCs w:val="28"/>
          <w:lang w:val="en-US"/>
        </w:rPr>
        <w:t>COMPARATIVE EFFICACY OF ANTIBIOTIC THERAPY FOR COMMUNITY-ACQUIRED PNEUMONIA IN PATIENTS OVER 60 YEARS OLD</w:t>
      </w:r>
    </w:p>
    <w:p w:rsidR="00B214A0" w:rsidRPr="00A512F4" w:rsidRDefault="00B214A0">
      <w:pPr>
        <w:pStyle w:val="a3"/>
        <w:spacing w:before="0" w:beforeAutospacing="0" w:after="0" w:afterAutospacing="0" w:line="360" w:lineRule="auto"/>
        <w:ind w:firstLine="567"/>
        <w:jc w:val="both"/>
        <w:rPr>
          <w:lang w:val="en-US"/>
        </w:rPr>
      </w:pPr>
    </w:p>
    <w:p w:rsidR="00B214A0" w:rsidRPr="00A512F4" w:rsidRDefault="007D6049">
      <w:pPr>
        <w:pStyle w:val="a3"/>
        <w:spacing w:before="0" w:beforeAutospacing="0" w:after="0" w:afterAutospacing="0" w:line="360" w:lineRule="auto"/>
        <w:ind w:firstLine="567"/>
        <w:jc w:val="right"/>
        <w:rPr>
          <w:lang w:val="en-US"/>
        </w:rPr>
      </w:pPr>
      <w:proofErr w:type="spellStart"/>
      <w:r>
        <w:rPr>
          <w:b/>
          <w:i/>
          <w:sz w:val="28"/>
          <w:szCs w:val="28"/>
          <w:lang w:val="en-US"/>
        </w:rPr>
        <w:t>Sokolova</w:t>
      </w:r>
      <w:proofErr w:type="spellEnd"/>
      <w:r>
        <w:rPr>
          <w:b/>
          <w:i/>
          <w:sz w:val="28"/>
          <w:szCs w:val="28"/>
          <w:lang w:val="en-US"/>
        </w:rPr>
        <w:t xml:space="preserve"> Marina </w:t>
      </w:r>
      <w:proofErr w:type="spellStart"/>
      <w:r>
        <w:rPr>
          <w:b/>
          <w:i/>
          <w:sz w:val="28"/>
          <w:szCs w:val="28"/>
          <w:lang w:val="en-US"/>
        </w:rPr>
        <w:t>Aleksandrovna</w:t>
      </w:r>
      <w:proofErr w:type="spellEnd"/>
    </w:p>
    <w:p w:rsidR="00B214A0" w:rsidRPr="00A512F4" w:rsidRDefault="007D6049">
      <w:pPr>
        <w:pStyle w:val="a3"/>
        <w:spacing w:before="0" w:beforeAutospacing="0" w:after="0" w:afterAutospacing="0" w:line="360" w:lineRule="auto"/>
        <w:ind w:firstLine="567"/>
        <w:jc w:val="right"/>
        <w:rPr>
          <w:lang w:val="en-US"/>
        </w:rPr>
      </w:pPr>
      <w:r>
        <w:rPr>
          <w:i/>
          <w:sz w:val="28"/>
          <w:szCs w:val="28"/>
          <w:lang w:val="en-US"/>
        </w:rPr>
        <w:t>PhD in Medicine, Associate Professor,</w:t>
      </w:r>
    </w:p>
    <w:p w:rsidR="00B214A0" w:rsidRPr="00A512F4" w:rsidRDefault="007D6049">
      <w:pPr>
        <w:pStyle w:val="a3"/>
        <w:spacing w:before="0" w:beforeAutospacing="0" w:after="0" w:afterAutospacing="0" w:line="360" w:lineRule="auto"/>
        <w:ind w:firstLine="567"/>
        <w:jc w:val="right"/>
        <w:rPr>
          <w:lang w:val="en-US"/>
        </w:rPr>
      </w:pPr>
      <w:r>
        <w:rPr>
          <w:i/>
          <w:sz w:val="28"/>
          <w:szCs w:val="28"/>
          <w:lang w:val="en-US"/>
        </w:rPr>
        <w:t>Department of Therapy and Clinical Pharmacology, I.M. Sechenov First Moscow State Medical University,</w:t>
      </w:r>
    </w:p>
    <w:p w:rsidR="00B214A0" w:rsidRPr="00A512F4" w:rsidRDefault="007D6049">
      <w:pPr>
        <w:pStyle w:val="a3"/>
        <w:spacing w:before="0" w:beforeAutospacing="0" w:after="0" w:afterAutospacing="0" w:line="360" w:lineRule="auto"/>
        <w:ind w:firstLine="567"/>
        <w:jc w:val="right"/>
        <w:rPr>
          <w:lang w:val="en-US"/>
        </w:rPr>
      </w:pPr>
      <w:r>
        <w:rPr>
          <w:i/>
          <w:sz w:val="28"/>
          <w:szCs w:val="28"/>
          <w:lang w:val="en-US"/>
        </w:rPr>
        <w:t>Moscow, Russia</w:t>
      </w:r>
    </w:p>
    <w:p w:rsidR="00B214A0" w:rsidRPr="00A512F4" w:rsidRDefault="007D6049">
      <w:pPr>
        <w:pStyle w:val="a3"/>
        <w:spacing w:before="0" w:beforeAutospacing="0" w:after="0" w:afterAutospacing="0" w:line="360" w:lineRule="auto"/>
        <w:ind w:firstLine="567"/>
        <w:jc w:val="right"/>
        <w:rPr>
          <w:lang w:val="en-US"/>
        </w:rPr>
      </w:pPr>
      <w:r>
        <w:rPr>
          <w:i/>
          <w:sz w:val="28"/>
          <w:szCs w:val="28"/>
          <w:lang w:val="en-US"/>
        </w:rPr>
        <w:t>E</w:t>
      </w:r>
      <w:r w:rsidRPr="00A512F4">
        <w:rPr>
          <w:i/>
          <w:sz w:val="28"/>
          <w:szCs w:val="28"/>
          <w:lang w:val="en-US"/>
        </w:rPr>
        <w:t>-</w:t>
      </w:r>
      <w:r>
        <w:rPr>
          <w:i/>
          <w:sz w:val="28"/>
          <w:szCs w:val="28"/>
          <w:lang w:val="en-US"/>
        </w:rPr>
        <w:t>mail: sokolova@mail.ru</w:t>
      </w:r>
    </w:p>
    <w:p w:rsidR="00B214A0" w:rsidRPr="00A512F4" w:rsidRDefault="00B214A0">
      <w:pPr>
        <w:pStyle w:val="a3"/>
        <w:spacing w:before="0" w:beforeAutospacing="0" w:after="0" w:afterAutospacing="0" w:line="360" w:lineRule="auto"/>
        <w:ind w:firstLine="567"/>
        <w:jc w:val="both"/>
        <w:rPr>
          <w:lang w:val="en-US"/>
        </w:rPr>
      </w:pPr>
    </w:p>
    <w:p w:rsidR="00B214A0" w:rsidRDefault="007D6049">
      <w:pPr>
        <w:pStyle w:val="a3"/>
        <w:spacing w:before="0" w:beforeAutospacing="0" w:after="0" w:afterAutospacing="0" w:line="360" w:lineRule="auto"/>
        <w:ind w:firstLine="567"/>
        <w:jc w:val="center"/>
      </w:pPr>
      <w:r>
        <w:rPr>
          <w:rStyle w:val="a4"/>
          <w:sz w:val="28"/>
          <w:szCs w:val="28"/>
        </w:rPr>
        <w:t>СРАВНИТЕЛЬНАЯ ЭФФЕКТИВНОСТЬ АНТИБАКТЕРИАЛЬНОЙ ТЕРАПИИ ПРИ ВНЕБОЛЬНИЧНОЙ ПНЕВМОНИИ У ПАЦИЕНТОВ СТАРШЕ 60 ЛЕТ</w:t>
      </w:r>
    </w:p>
    <w:p w:rsidR="00B214A0" w:rsidRDefault="00B214A0">
      <w:pPr>
        <w:pStyle w:val="a3"/>
        <w:spacing w:before="0" w:beforeAutospacing="0" w:after="0" w:afterAutospacing="0" w:line="360" w:lineRule="auto"/>
        <w:ind w:firstLine="567"/>
        <w:jc w:val="center"/>
      </w:pPr>
    </w:p>
    <w:p w:rsidR="00B214A0" w:rsidRDefault="007D6049">
      <w:pPr>
        <w:pStyle w:val="a3"/>
        <w:spacing w:before="0" w:beforeAutospacing="0" w:after="0" w:afterAutospacing="0" w:line="360" w:lineRule="auto"/>
        <w:ind w:firstLine="567"/>
        <w:jc w:val="right"/>
      </w:pPr>
      <w:r>
        <w:rPr>
          <w:b/>
          <w:i/>
          <w:sz w:val="28"/>
          <w:szCs w:val="28"/>
        </w:rPr>
        <w:t>Соко</w:t>
      </w:r>
      <w:r>
        <w:rPr>
          <w:b/>
          <w:i/>
          <w:sz w:val="28"/>
          <w:szCs w:val="28"/>
        </w:rPr>
        <w:t>лова Марина Александровна</w:t>
      </w:r>
    </w:p>
    <w:p w:rsidR="00B214A0" w:rsidRDefault="007D6049">
      <w:pPr>
        <w:pStyle w:val="a3"/>
        <w:spacing w:before="0" w:beforeAutospacing="0" w:after="0" w:afterAutospacing="0" w:line="360" w:lineRule="auto"/>
        <w:ind w:firstLine="567"/>
        <w:jc w:val="right"/>
      </w:pPr>
      <w:r>
        <w:rPr>
          <w:i/>
          <w:sz w:val="28"/>
          <w:szCs w:val="28"/>
        </w:rPr>
        <w:t>канд. мед. наук, доцент,</w:t>
      </w:r>
    </w:p>
    <w:p w:rsidR="00B214A0" w:rsidRDefault="007D6049">
      <w:pPr>
        <w:pStyle w:val="a3"/>
        <w:spacing w:before="0" w:beforeAutospacing="0" w:after="0" w:afterAutospacing="0" w:line="360" w:lineRule="auto"/>
        <w:ind w:firstLine="567"/>
        <w:jc w:val="right"/>
      </w:pPr>
      <w:r>
        <w:rPr>
          <w:i/>
          <w:sz w:val="28"/>
          <w:szCs w:val="28"/>
        </w:rPr>
        <w:t>кафедра терапии и клинической фармакологии, ФГБОУ ВО Первый МГМУ им. И.М. Сеченова,</w:t>
      </w:r>
    </w:p>
    <w:p w:rsidR="00B214A0" w:rsidRDefault="007D6049">
      <w:pPr>
        <w:pStyle w:val="a3"/>
        <w:spacing w:before="0" w:beforeAutospacing="0" w:after="0" w:afterAutospacing="0" w:line="360" w:lineRule="auto"/>
        <w:ind w:firstLine="567"/>
        <w:jc w:val="right"/>
      </w:pPr>
      <w:r>
        <w:rPr>
          <w:i/>
          <w:sz w:val="28"/>
          <w:szCs w:val="28"/>
        </w:rPr>
        <w:t>Москва, Россия</w:t>
      </w:r>
    </w:p>
    <w:p w:rsidR="00B214A0" w:rsidRDefault="007D6049">
      <w:pPr>
        <w:pStyle w:val="a3"/>
        <w:spacing w:before="0" w:beforeAutospacing="0" w:after="0" w:afterAutospacing="0" w:line="360" w:lineRule="auto"/>
        <w:ind w:firstLine="567"/>
        <w:jc w:val="right"/>
      </w:pPr>
      <w:r>
        <w:rPr>
          <w:i/>
          <w:sz w:val="28"/>
          <w:szCs w:val="28"/>
          <w:lang w:val="en-US"/>
        </w:rPr>
        <w:t>E</w:t>
      </w:r>
      <w:r>
        <w:rPr>
          <w:i/>
          <w:sz w:val="28"/>
          <w:szCs w:val="28"/>
        </w:rPr>
        <w:t>-</w:t>
      </w:r>
      <w:r>
        <w:rPr>
          <w:i/>
          <w:sz w:val="28"/>
          <w:szCs w:val="28"/>
          <w:lang w:val="en-US"/>
        </w:rPr>
        <w:t>mail</w:t>
      </w:r>
      <w:r w:rsidRPr="00A512F4">
        <w:rPr>
          <w:i/>
          <w:sz w:val="28"/>
          <w:szCs w:val="28"/>
        </w:rPr>
        <w:t xml:space="preserve">: </w:t>
      </w:r>
      <w:proofErr w:type="spellStart"/>
      <w:r>
        <w:rPr>
          <w:i/>
          <w:sz w:val="28"/>
          <w:szCs w:val="28"/>
          <w:lang w:val="en-US"/>
        </w:rPr>
        <w:t>sokolova</w:t>
      </w:r>
      <w:proofErr w:type="spellEnd"/>
      <w:r w:rsidRPr="00A512F4">
        <w:rPr>
          <w:i/>
          <w:sz w:val="28"/>
          <w:szCs w:val="28"/>
        </w:rPr>
        <w:t>@</w:t>
      </w:r>
      <w:r>
        <w:rPr>
          <w:i/>
          <w:sz w:val="28"/>
          <w:szCs w:val="28"/>
          <w:lang w:val="en-US"/>
        </w:rPr>
        <w:t>mail</w:t>
      </w:r>
      <w:r w:rsidRPr="00A512F4">
        <w:rPr>
          <w:i/>
          <w:sz w:val="28"/>
          <w:szCs w:val="28"/>
        </w:rPr>
        <w:t>.</w:t>
      </w:r>
      <w:proofErr w:type="spellStart"/>
      <w:r>
        <w:rPr>
          <w:i/>
          <w:sz w:val="28"/>
          <w:szCs w:val="28"/>
          <w:lang w:val="en-US"/>
        </w:rPr>
        <w:t>ru</w:t>
      </w:r>
      <w:proofErr w:type="spellEnd"/>
    </w:p>
    <w:p w:rsidR="00B214A0" w:rsidRDefault="00B214A0">
      <w:pPr>
        <w:pStyle w:val="a3"/>
        <w:spacing w:before="0" w:beforeAutospacing="0" w:after="0" w:afterAutospacing="0" w:line="360" w:lineRule="auto"/>
        <w:ind w:firstLine="567"/>
        <w:jc w:val="right"/>
      </w:pPr>
    </w:p>
    <w:p w:rsidR="00B214A0" w:rsidRDefault="007D6049">
      <w:pPr>
        <w:pStyle w:val="a3"/>
        <w:spacing w:before="0" w:beforeAutospacing="0" w:after="0" w:afterAutospacing="0" w:line="360" w:lineRule="auto"/>
        <w:ind w:firstLine="567"/>
      </w:pPr>
      <w:r>
        <w:rPr>
          <w:rStyle w:val="a4"/>
          <w:sz w:val="28"/>
          <w:szCs w:val="28"/>
          <w:lang w:val="en-US"/>
        </w:rPr>
        <w:t>Abstract</w:t>
      </w:r>
    </w:p>
    <w:p w:rsidR="00B214A0" w:rsidRPr="00A512F4" w:rsidRDefault="007D6049">
      <w:pPr>
        <w:pStyle w:val="a3"/>
        <w:spacing w:before="0" w:beforeAutospacing="0" w:after="0" w:afterAutospacing="0" w:line="360" w:lineRule="auto"/>
        <w:ind w:firstLine="567"/>
        <w:jc w:val="both"/>
        <w:rPr>
          <w:lang w:val="en-US"/>
        </w:rPr>
      </w:pPr>
      <w:r>
        <w:rPr>
          <w:sz w:val="28"/>
          <w:szCs w:val="28"/>
          <w:lang w:val="en-US"/>
        </w:rPr>
        <w:t xml:space="preserve">Community-acquired pneumonia (CAP) in elderly patients is characterised by atypical presentation, high complication risk, and pathogen resistance to standard </w:t>
      </w:r>
      <w:r>
        <w:rPr>
          <w:sz w:val="28"/>
          <w:szCs w:val="28"/>
          <w:lang w:val="en-US"/>
        </w:rPr>
        <w:lastRenderedPageBreak/>
        <w:t>regimens. A prospective cohort study (n = 84, age &gt; 60) compared amoxicillin/clavulanate monothera</w:t>
      </w:r>
      <w:r>
        <w:rPr>
          <w:sz w:val="28"/>
          <w:szCs w:val="28"/>
          <w:lang w:val="en-US"/>
        </w:rPr>
        <w:t>py with a combination regimen supplemented with azithromycin. Clinical symptom dynamics, time to temperature and laboratory normalisation, hospitalisation duration, and adverse event rates were assessed. The combination regimen provided significantly faste</w:t>
      </w:r>
      <w:r>
        <w:rPr>
          <w:sz w:val="28"/>
          <w:szCs w:val="28"/>
          <w:lang w:val="en-US"/>
        </w:rPr>
        <w:t>r temperature normalisation (1.8 days faster, p &lt; 0.05) and reduced hospitalisation by 2.3 days on average. Adverse event rates did not differ significantly between groups. The results indicate clinical advantages of combination antibiotic therapy in elder</w:t>
      </w:r>
      <w:r>
        <w:rPr>
          <w:sz w:val="28"/>
          <w:szCs w:val="28"/>
          <w:lang w:val="en-US"/>
        </w:rPr>
        <w:t>ly CAP patients and may support revision of current treatment protocols.</w:t>
      </w:r>
    </w:p>
    <w:p w:rsidR="00B214A0" w:rsidRPr="00A512F4" w:rsidRDefault="00B214A0">
      <w:pPr>
        <w:pStyle w:val="a3"/>
        <w:spacing w:before="0" w:beforeAutospacing="0" w:after="0" w:afterAutospacing="0" w:line="360" w:lineRule="auto"/>
        <w:ind w:firstLine="567"/>
        <w:jc w:val="both"/>
        <w:rPr>
          <w:lang w:val="en-US"/>
        </w:rPr>
      </w:pPr>
    </w:p>
    <w:p w:rsidR="00B214A0" w:rsidRDefault="007D6049">
      <w:pPr>
        <w:pStyle w:val="a3"/>
        <w:spacing w:before="0" w:beforeAutospacing="0" w:after="0" w:afterAutospacing="0" w:line="360" w:lineRule="auto"/>
        <w:ind w:firstLine="567"/>
      </w:pPr>
      <w:r>
        <w:rPr>
          <w:rStyle w:val="a4"/>
          <w:sz w:val="28"/>
          <w:szCs w:val="28"/>
        </w:rPr>
        <w:t>Аннотация</w:t>
      </w:r>
    </w:p>
    <w:p w:rsidR="00B214A0" w:rsidRDefault="00A512F4">
      <w:pPr>
        <w:pStyle w:val="a3"/>
        <w:spacing w:before="0" w:beforeAutospacing="0" w:after="0" w:afterAutospacing="0" w:line="360" w:lineRule="auto"/>
        <w:ind w:firstLine="567"/>
        <w:jc w:val="both"/>
      </w:pPr>
      <w:r w:rsidRPr="00A512F4">
        <w:rPr>
          <w:sz w:val="28"/>
          <w:szCs w:val="28"/>
        </w:rPr>
        <w:t xml:space="preserve">Внебольничная пневмония (ВБП) у пациентов пожилого возраста характеризуется атипичной клинической картиной, высоким риском развития осложнений и устойчивостью возбудителей к стандартным схемам лечения. В рамках </w:t>
      </w:r>
      <w:proofErr w:type="spellStart"/>
      <w:r w:rsidRPr="00A512F4">
        <w:rPr>
          <w:sz w:val="28"/>
          <w:szCs w:val="28"/>
        </w:rPr>
        <w:t>проспективного</w:t>
      </w:r>
      <w:proofErr w:type="spellEnd"/>
      <w:r w:rsidRPr="00A512F4">
        <w:rPr>
          <w:sz w:val="28"/>
          <w:szCs w:val="28"/>
        </w:rPr>
        <w:t xml:space="preserve"> </w:t>
      </w:r>
      <w:proofErr w:type="spellStart"/>
      <w:r w:rsidRPr="00A512F4">
        <w:rPr>
          <w:sz w:val="28"/>
          <w:szCs w:val="28"/>
        </w:rPr>
        <w:t>когортного</w:t>
      </w:r>
      <w:proofErr w:type="spellEnd"/>
      <w:r w:rsidRPr="00A512F4">
        <w:rPr>
          <w:sz w:val="28"/>
          <w:szCs w:val="28"/>
        </w:rPr>
        <w:t xml:space="preserve"> исследования (n = 84; возраст &gt; 60 лет) проводилось сравнение </w:t>
      </w:r>
      <w:proofErr w:type="spellStart"/>
      <w:r w:rsidRPr="00A512F4">
        <w:rPr>
          <w:sz w:val="28"/>
          <w:szCs w:val="28"/>
        </w:rPr>
        <w:t>монотерапии</w:t>
      </w:r>
      <w:proofErr w:type="spellEnd"/>
      <w:r w:rsidRPr="00A512F4">
        <w:rPr>
          <w:sz w:val="28"/>
          <w:szCs w:val="28"/>
        </w:rPr>
        <w:t xml:space="preserve"> препаратом амоксициллин/</w:t>
      </w:r>
      <w:proofErr w:type="spellStart"/>
      <w:r w:rsidRPr="00A512F4">
        <w:rPr>
          <w:sz w:val="28"/>
          <w:szCs w:val="28"/>
        </w:rPr>
        <w:t>клавуланат</w:t>
      </w:r>
      <w:proofErr w:type="spellEnd"/>
      <w:r w:rsidRPr="00A512F4">
        <w:rPr>
          <w:sz w:val="28"/>
          <w:szCs w:val="28"/>
        </w:rPr>
        <w:t xml:space="preserve"> с комбинированной схемой лечения, дополненной </w:t>
      </w:r>
      <w:proofErr w:type="spellStart"/>
      <w:r w:rsidRPr="00A512F4">
        <w:rPr>
          <w:sz w:val="28"/>
          <w:szCs w:val="28"/>
        </w:rPr>
        <w:t>азитромицином</w:t>
      </w:r>
      <w:proofErr w:type="spellEnd"/>
      <w:r w:rsidRPr="00A512F4">
        <w:rPr>
          <w:sz w:val="28"/>
          <w:szCs w:val="28"/>
        </w:rPr>
        <w:t>. Оценивались динамика клинических симптомов, сроки нормализации температуры тела и лабораторных показателей, продолжительность госпитализации, а также частота возникновения нежелательных явлений. Применение комбинированной схемы обеспечило достоверно более быструю нормализацию температуры тела (на 1,8 дня быстрее; p &lt; 0,05) и позволило сократить продолжительность госпитализации в среднем на 2,3 дня. Частота возникновения нежелательных явлений в сравниваемых группах достоверно не различалась. Полученные результаты свидетельствуют о клинических преимуществах комбинированной антибактериальной терапии у пожилых пациентов с ВБП и могут послужить основанием для пересмотра действующих протоколов лечения.</w:t>
      </w:r>
    </w:p>
    <w:p w:rsidR="00B214A0" w:rsidRPr="00A512F4" w:rsidRDefault="007D6049">
      <w:pPr>
        <w:pStyle w:val="a3"/>
        <w:spacing w:before="0" w:beforeAutospacing="0" w:after="0" w:afterAutospacing="0" w:line="360" w:lineRule="auto"/>
        <w:ind w:firstLine="567"/>
        <w:jc w:val="both"/>
        <w:rPr>
          <w:lang w:val="en-US"/>
        </w:rPr>
      </w:pPr>
      <w:r>
        <w:rPr>
          <w:rStyle w:val="a4"/>
          <w:sz w:val="28"/>
          <w:szCs w:val="28"/>
          <w:lang w:val="en-US"/>
        </w:rPr>
        <w:t>Keywords</w:t>
      </w:r>
      <w:r w:rsidRPr="00A512F4">
        <w:rPr>
          <w:rStyle w:val="a4"/>
          <w:sz w:val="28"/>
          <w:szCs w:val="28"/>
          <w:lang w:val="en-US"/>
        </w:rPr>
        <w:t>:</w:t>
      </w:r>
      <w:r>
        <w:rPr>
          <w:sz w:val="28"/>
          <w:szCs w:val="28"/>
          <w:lang w:val="en-US"/>
        </w:rPr>
        <w:t xml:space="preserve"> community-acquired pn</w:t>
      </w:r>
      <w:r>
        <w:rPr>
          <w:sz w:val="28"/>
          <w:szCs w:val="28"/>
          <w:lang w:val="en-US"/>
        </w:rPr>
        <w:t>eumonia, antibiotic therapy, elderly patients, amoxicillin/</w:t>
      </w:r>
      <w:proofErr w:type="spellStart"/>
      <w:r>
        <w:rPr>
          <w:sz w:val="28"/>
          <w:szCs w:val="28"/>
          <w:lang w:val="en-US"/>
        </w:rPr>
        <w:t>clavulanate</w:t>
      </w:r>
      <w:proofErr w:type="spellEnd"/>
      <w:r>
        <w:rPr>
          <w:sz w:val="28"/>
          <w:szCs w:val="28"/>
          <w:lang w:val="en-US"/>
        </w:rPr>
        <w:t>, azithromycin, clinical efficacy.</w:t>
      </w:r>
    </w:p>
    <w:p w:rsidR="00B214A0" w:rsidRDefault="007D6049">
      <w:pPr>
        <w:pStyle w:val="a3"/>
        <w:spacing w:before="0" w:beforeAutospacing="0" w:after="0" w:afterAutospacing="0" w:line="360" w:lineRule="auto"/>
        <w:ind w:firstLine="567"/>
        <w:jc w:val="both"/>
      </w:pPr>
      <w:r>
        <w:rPr>
          <w:rStyle w:val="a4"/>
          <w:sz w:val="28"/>
          <w:szCs w:val="28"/>
        </w:rPr>
        <w:lastRenderedPageBreak/>
        <w:t>Ключевые слова</w:t>
      </w:r>
      <w:r w:rsidRPr="00A512F4">
        <w:rPr>
          <w:rStyle w:val="a4"/>
          <w:sz w:val="28"/>
          <w:szCs w:val="28"/>
        </w:rPr>
        <w:t>:</w:t>
      </w:r>
      <w:r w:rsidRPr="00A512F4">
        <w:rPr>
          <w:sz w:val="28"/>
          <w:szCs w:val="28"/>
        </w:rPr>
        <w:t xml:space="preserve"> внебольничная пневмония, антибактериальная терапия, пожилые пациенты, амоксициллин/</w:t>
      </w:r>
      <w:proofErr w:type="spellStart"/>
      <w:r w:rsidRPr="00A512F4">
        <w:rPr>
          <w:sz w:val="28"/>
          <w:szCs w:val="28"/>
        </w:rPr>
        <w:t>клавуланат</w:t>
      </w:r>
      <w:proofErr w:type="spellEnd"/>
      <w:r w:rsidRPr="00A512F4">
        <w:rPr>
          <w:sz w:val="28"/>
          <w:szCs w:val="28"/>
        </w:rPr>
        <w:t xml:space="preserve">, </w:t>
      </w:r>
      <w:proofErr w:type="spellStart"/>
      <w:r w:rsidRPr="00A512F4">
        <w:rPr>
          <w:sz w:val="28"/>
          <w:szCs w:val="28"/>
        </w:rPr>
        <w:t>азитромицин</w:t>
      </w:r>
      <w:proofErr w:type="spellEnd"/>
      <w:r w:rsidRPr="00A512F4">
        <w:rPr>
          <w:sz w:val="28"/>
          <w:szCs w:val="28"/>
        </w:rPr>
        <w:t>.</w:t>
      </w:r>
    </w:p>
    <w:p w:rsidR="00B214A0" w:rsidRDefault="00B214A0">
      <w:pPr>
        <w:pStyle w:val="a3"/>
        <w:spacing w:before="0" w:beforeAutospacing="0" w:after="0" w:afterAutospacing="0" w:line="360" w:lineRule="auto"/>
        <w:ind w:firstLine="567"/>
        <w:jc w:val="both"/>
      </w:pPr>
    </w:p>
    <w:p w:rsidR="00B214A0" w:rsidRPr="00A512F4" w:rsidRDefault="007D6049">
      <w:pPr>
        <w:pStyle w:val="a3"/>
        <w:spacing w:before="0" w:beforeAutospacing="0" w:after="0" w:afterAutospacing="0" w:line="360" w:lineRule="auto"/>
        <w:ind w:firstLine="567"/>
        <w:jc w:val="both"/>
        <w:rPr>
          <w:lang w:val="en-US"/>
        </w:rPr>
      </w:pPr>
      <w:r>
        <w:rPr>
          <w:b/>
          <w:sz w:val="28"/>
          <w:szCs w:val="28"/>
          <w:lang w:val="en-US"/>
        </w:rPr>
        <w:t>Introduction</w:t>
      </w:r>
    </w:p>
    <w:p w:rsidR="00B214A0" w:rsidRPr="00A512F4" w:rsidRDefault="007D6049">
      <w:pPr>
        <w:pStyle w:val="a3"/>
        <w:spacing w:before="0" w:beforeAutospacing="0" w:after="0" w:afterAutospacing="0" w:line="360" w:lineRule="auto"/>
        <w:ind w:firstLine="567"/>
        <w:jc w:val="both"/>
        <w:rPr>
          <w:lang w:val="en-US"/>
        </w:rPr>
      </w:pPr>
      <w:r>
        <w:rPr>
          <w:sz w:val="28"/>
          <w:szCs w:val="28"/>
          <w:lang w:val="en-US"/>
        </w:rPr>
        <w:t>Community-acquired pneumonia (CAP) remains one of the leading causes of hospitalisation and mortality among elderly patients worldwide. According to the World Health Organization, CAP ranks fourth among causes of death in persons over 65 years in the struc</w:t>
      </w:r>
      <w:r>
        <w:rPr>
          <w:sz w:val="28"/>
          <w:szCs w:val="28"/>
          <w:lang w:val="en-US"/>
        </w:rPr>
        <w:t xml:space="preserve">ture of infectious morbidity [1, p. 12]. In Russia, annual CAP incidence among the elderly reaches 15–17 per 1,000 persons, while mortality in severe cases reaches 18–25% [2, p. 45]. A characteristic feature of CAP in this age group is attenuated clinical </w:t>
      </w:r>
      <w:r>
        <w:rPr>
          <w:sz w:val="28"/>
          <w:szCs w:val="28"/>
          <w:lang w:val="en-US"/>
        </w:rPr>
        <w:t>presentation, high comorbidity burden, and diminished immune response, complicating timely diagnosis and treatment selection [3, p. 88]. Standard CAP protocols recommend amoxicillin/clavulanate or third-generation cephalosporins as first-line agents [4, p.</w:t>
      </w:r>
      <w:r>
        <w:rPr>
          <w:sz w:val="28"/>
          <w:szCs w:val="28"/>
          <w:lang w:val="en-US"/>
        </w:rPr>
        <w:t xml:space="preserve"> 203]. However, atypical pathogens — Mycoplasma pneumoniae, Chlamydophila pneumoniae, and Legionella pneumophila — frequently occur in elderly patients, against which these agents show insufficient efficacy [5, p. 17]. Adding macrolides to a beta-lactam po</w:t>
      </w:r>
      <w:r>
        <w:rPr>
          <w:sz w:val="28"/>
          <w:szCs w:val="28"/>
          <w:lang w:val="en-US"/>
        </w:rPr>
        <w:t>tentially improves clinical outcomes; however, evidence specifically in elderly patients remains limited [6, p. 331]. The aim of this study was to compare the clinical efficacy of amoxicillin/clavulanate monotherapy and a combination regimen with azithromy</w:t>
      </w:r>
      <w:r>
        <w:rPr>
          <w:sz w:val="28"/>
          <w:szCs w:val="28"/>
          <w:lang w:val="en-US"/>
        </w:rPr>
        <w:t>cin in hospitalised patients over 60 years with moderate CAP.</w:t>
      </w:r>
    </w:p>
    <w:p w:rsidR="00B214A0" w:rsidRPr="00A512F4" w:rsidRDefault="00B214A0">
      <w:pPr>
        <w:pStyle w:val="a3"/>
        <w:spacing w:before="0" w:beforeAutospacing="0" w:after="0" w:afterAutospacing="0" w:line="360" w:lineRule="auto"/>
        <w:ind w:firstLine="567"/>
        <w:jc w:val="both"/>
        <w:rPr>
          <w:lang w:val="en-US"/>
        </w:rPr>
      </w:pPr>
    </w:p>
    <w:p w:rsidR="00B214A0" w:rsidRPr="00A512F4" w:rsidRDefault="007D6049">
      <w:pPr>
        <w:pStyle w:val="a3"/>
        <w:spacing w:before="0" w:beforeAutospacing="0" w:after="0" w:afterAutospacing="0" w:line="360" w:lineRule="auto"/>
        <w:ind w:firstLine="567"/>
        <w:jc w:val="both"/>
        <w:rPr>
          <w:lang w:val="en-US"/>
        </w:rPr>
      </w:pPr>
      <w:r>
        <w:rPr>
          <w:b/>
          <w:sz w:val="28"/>
          <w:szCs w:val="28"/>
          <w:lang w:val="en-US"/>
        </w:rPr>
        <w:t>Materials and methods</w:t>
      </w:r>
    </w:p>
    <w:p w:rsidR="00B214A0" w:rsidRPr="00A512F4" w:rsidRDefault="007D6049">
      <w:pPr>
        <w:pStyle w:val="a3"/>
        <w:spacing w:before="0" w:beforeAutospacing="0" w:after="0" w:afterAutospacing="0" w:line="360" w:lineRule="auto"/>
        <w:ind w:firstLine="567"/>
        <w:jc w:val="both"/>
        <w:rPr>
          <w:lang w:val="en-US"/>
        </w:rPr>
      </w:pPr>
      <w:r>
        <w:rPr>
          <w:sz w:val="28"/>
          <w:szCs w:val="28"/>
          <w:lang w:val="en-US"/>
        </w:rPr>
        <w:t xml:space="preserve">Patients </w:t>
      </w:r>
      <w:proofErr w:type="spellStart"/>
      <w:r>
        <w:rPr>
          <w:sz w:val="28"/>
          <w:szCs w:val="28"/>
          <w:lang w:val="en-US"/>
        </w:rPr>
        <w:t>hospitalised</w:t>
      </w:r>
      <w:proofErr w:type="spellEnd"/>
      <w:r>
        <w:rPr>
          <w:sz w:val="28"/>
          <w:szCs w:val="28"/>
          <w:lang w:val="en-US"/>
        </w:rPr>
        <w:t xml:space="preserve"> in the therapeutic department of City Clinical Hospital No. 52, Moscow (January 2022 — December 2023) with a CAP diagnosis were consecutively enrolle</w:t>
      </w:r>
      <w:r>
        <w:rPr>
          <w:sz w:val="28"/>
          <w:szCs w:val="28"/>
          <w:lang w:val="en-US"/>
        </w:rPr>
        <w:t>d. Inclusion criteria: age &gt; 60 years, radiologically confirmed pneumonia, PORT/PSI class II–III, and informed consent. Exclusion criteria: severe decompensated comorbidity, allergy to penicillins or macrolides, antibiotic use within 30 days prior to admis</w:t>
      </w:r>
      <w:r>
        <w:rPr>
          <w:sz w:val="28"/>
          <w:szCs w:val="28"/>
          <w:lang w:val="en-US"/>
        </w:rPr>
        <w:t xml:space="preserve">sion, and immunodeficiency. Patients were randomly assigned to two groups: Group 1 (n = 42) — amoxicillin/clavulanate 1000/125 mg IV three </w:t>
      </w:r>
      <w:r>
        <w:rPr>
          <w:sz w:val="28"/>
          <w:szCs w:val="28"/>
          <w:lang w:val="en-US"/>
        </w:rPr>
        <w:lastRenderedPageBreak/>
        <w:t xml:space="preserve">times daily; Group 2 (n = 42) — same regimen plus azithromycin 500 mg IV once daily for the first 3 days, then oral. </w:t>
      </w:r>
      <w:r>
        <w:rPr>
          <w:sz w:val="28"/>
          <w:szCs w:val="28"/>
          <w:lang w:val="en-US"/>
        </w:rPr>
        <w:t xml:space="preserve">Duration: 7–10 days according to clinical dynamics. Endpoints: time to temperature normalisation (&lt; 37.2 °C), leucocyte normalisation, total hospitalisation duration, and adverse event rate. Statistical analysis used SPSS Statistics 26.0; Mann-Whitney and </w:t>
      </w:r>
      <w:r>
        <w:rPr>
          <w:sz w:val="28"/>
          <w:szCs w:val="28"/>
          <w:lang w:val="en-US"/>
        </w:rPr>
        <w:t>chi-square tests were applied. Significance threshold: p &lt; 0.05 [7, p. 114].</w:t>
      </w:r>
    </w:p>
    <w:p w:rsidR="00B214A0" w:rsidRPr="00A512F4" w:rsidRDefault="00B214A0">
      <w:pPr>
        <w:pStyle w:val="a3"/>
        <w:spacing w:before="0" w:beforeAutospacing="0" w:after="0" w:afterAutospacing="0" w:line="360" w:lineRule="auto"/>
        <w:ind w:firstLine="567"/>
        <w:jc w:val="both"/>
        <w:rPr>
          <w:lang w:val="en-US"/>
        </w:rPr>
      </w:pPr>
    </w:p>
    <w:p w:rsidR="00B214A0" w:rsidRPr="00A512F4" w:rsidRDefault="007D6049">
      <w:pPr>
        <w:pStyle w:val="a3"/>
        <w:spacing w:before="0" w:beforeAutospacing="0" w:after="0" w:afterAutospacing="0" w:line="360" w:lineRule="auto"/>
        <w:ind w:firstLine="567"/>
        <w:jc w:val="both"/>
        <w:rPr>
          <w:lang w:val="en-US"/>
        </w:rPr>
      </w:pPr>
      <w:r>
        <w:rPr>
          <w:b/>
          <w:sz w:val="28"/>
          <w:szCs w:val="28"/>
          <w:lang w:val="en-US"/>
        </w:rPr>
        <w:t>Results and discussion</w:t>
      </w:r>
    </w:p>
    <w:p w:rsidR="00B214A0" w:rsidRPr="00A512F4" w:rsidRDefault="007D6049">
      <w:pPr>
        <w:pStyle w:val="a3"/>
        <w:spacing w:before="0" w:beforeAutospacing="0" w:after="0" w:afterAutospacing="0" w:line="360" w:lineRule="auto"/>
        <w:ind w:firstLine="567"/>
        <w:jc w:val="both"/>
        <w:rPr>
          <w:lang w:val="en-US"/>
        </w:rPr>
      </w:pPr>
      <w:r>
        <w:rPr>
          <w:sz w:val="28"/>
          <w:szCs w:val="28"/>
          <w:lang w:val="en-US"/>
        </w:rPr>
        <w:t>Baseline clinical and demographic characteristics did not differ between groups: mean age 68.3 ± 5.7 (Group 1) vs 67.9 ± 6.1 years (Group 2) (p = 0.74). Pr</w:t>
      </w:r>
      <w:r>
        <w:rPr>
          <w:sz w:val="28"/>
          <w:szCs w:val="28"/>
          <w:lang w:val="en-US"/>
        </w:rPr>
        <w:t>oportion with type 2 diabetes: 28.6% and 31.0%; with COPD: 21.4% and 23.8%. Time to temperature normalisation: 2.4 ± 0.8 vs 4.2 ± 1.1 days (p = 0.003). Hospitalisation duration: 8.7 ± 1.9 vs 11.0 ± 2.3 days (p = 0.001). Leucocyte normalisation: day 4.1 ± 1</w:t>
      </w:r>
      <w:r>
        <w:rPr>
          <w:sz w:val="28"/>
          <w:szCs w:val="28"/>
          <w:lang w:val="en-US"/>
        </w:rPr>
        <w:t>.2 vs 5.8 ± 1.6 (p = 0.002). Adverse event rates: 9.5% (Group 1, predominantly diarrhoea) vs 11.9% (Group 2, diarrhoea and minor arrhythmias); difference not significant (p = 0.68). No therapy discontinuation was recorded. These findings are consistent wit</w:t>
      </w:r>
      <w:r>
        <w:rPr>
          <w:sz w:val="28"/>
          <w:szCs w:val="28"/>
          <w:lang w:val="en-US"/>
        </w:rPr>
        <w:t xml:space="preserve">h the meta-analysis by Lim et al. [8, p. 547], demonstrating an 18% mortality reduction with combination therapy. Figure 1 shows the fever resolution dynamics; Table 1 </w:t>
      </w:r>
      <w:proofErr w:type="spellStart"/>
      <w:r>
        <w:rPr>
          <w:sz w:val="28"/>
          <w:szCs w:val="28"/>
          <w:lang w:val="en-US"/>
        </w:rPr>
        <w:t>summarises</w:t>
      </w:r>
      <w:proofErr w:type="spellEnd"/>
      <w:r>
        <w:rPr>
          <w:sz w:val="28"/>
          <w:szCs w:val="28"/>
          <w:lang w:val="en-US"/>
        </w:rPr>
        <w:t xml:space="preserve"> key clinical outcomes.</w:t>
      </w:r>
    </w:p>
    <w:p w:rsidR="00A512F4" w:rsidRPr="00B37E38" w:rsidRDefault="00A512F4" w:rsidP="00A512F4">
      <w:pPr>
        <w:pStyle w:val="a3"/>
        <w:spacing w:before="0" w:beforeAutospacing="0" w:after="0" w:afterAutospacing="0" w:line="360" w:lineRule="auto"/>
        <w:ind w:firstLine="567"/>
        <w:jc w:val="both"/>
        <w:rPr>
          <w:lang w:val="en-US"/>
        </w:rPr>
      </w:pPr>
    </w:p>
    <w:p w:rsidR="00B214A0" w:rsidRPr="00A512F4" w:rsidRDefault="00A512F4" w:rsidP="00A512F4">
      <w:pPr>
        <w:pStyle w:val="a3"/>
        <w:spacing w:after="0" w:line="360" w:lineRule="auto"/>
        <w:ind w:firstLine="567"/>
        <w:jc w:val="center"/>
        <w:rPr>
          <w:b/>
          <w:i/>
          <w:sz w:val="28"/>
          <w:szCs w:val="28"/>
        </w:rPr>
      </w:pPr>
      <w:r>
        <w:rPr>
          <w:noProof/>
        </w:rPr>
        <w:drawing>
          <wp:inline distT="0" distB="0" distL="0" distR="0" wp14:anchorId="14DFF41E" wp14:editId="6EA4D2ED">
            <wp:extent cx="1691640" cy="518160"/>
            <wp:effectExtent l="133350" t="114300" r="156210" b="1676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91640" cy="5181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Start w:id="0" w:name="_GoBack"/>
      <w:bookmarkEnd w:id="0"/>
    </w:p>
    <w:p w:rsidR="00B214A0" w:rsidRPr="00A512F4" w:rsidRDefault="007D6049">
      <w:pPr>
        <w:pStyle w:val="a3"/>
        <w:spacing w:after="0" w:line="360" w:lineRule="auto"/>
        <w:ind w:firstLine="567"/>
        <w:jc w:val="center"/>
        <w:rPr>
          <w:lang w:val="en-US"/>
        </w:rPr>
      </w:pPr>
      <w:proofErr w:type="gramStart"/>
      <w:r>
        <w:rPr>
          <w:b/>
          <w:i/>
          <w:sz w:val="28"/>
          <w:szCs w:val="28"/>
          <w:lang w:val="en-US"/>
        </w:rPr>
        <w:t>Figure 1.</w:t>
      </w:r>
      <w:proofErr w:type="gramEnd"/>
      <w:r>
        <w:rPr>
          <w:b/>
          <w:i/>
          <w:sz w:val="28"/>
          <w:szCs w:val="28"/>
          <w:lang w:val="en-US"/>
        </w:rPr>
        <w:t xml:space="preserve"> Fever resolution dynamics over time in both</w:t>
      </w:r>
      <w:r>
        <w:rPr>
          <w:b/>
          <w:i/>
          <w:sz w:val="28"/>
          <w:szCs w:val="28"/>
          <w:lang w:val="en-US"/>
        </w:rPr>
        <w:t xml:space="preserve"> treatment groups (days from admission).</w:t>
      </w:r>
    </w:p>
    <w:p w:rsidR="00B214A0" w:rsidRPr="00A512F4" w:rsidRDefault="007D6049">
      <w:pPr>
        <w:pStyle w:val="a3"/>
        <w:spacing w:before="0" w:beforeAutospacing="0" w:after="0" w:afterAutospacing="0" w:line="360" w:lineRule="auto"/>
        <w:ind w:firstLine="567"/>
        <w:jc w:val="both"/>
        <w:rPr>
          <w:lang w:val="en-US"/>
        </w:rPr>
      </w:pPr>
      <w:proofErr w:type="gramStart"/>
      <w:r>
        <w:rPr>
          <w:sz w:val="28"/>
          <w:szCs w:val="28"/>
          <w:lang w:val="en-US"/>
        </w:rPr>
        <w:t>[Line graph: x-axis — days from admission (0–7); y-axis — mean body temperature (°C).</w:t>
      </w:r>
      <w:proofErr w:type="gramEnd"/>
      <w:r>
        <w:rPr>
          <w:sz w:val="28"/>
          <w:szCs w:val="28"/>
          <w:lang w:val="en-US"/>
        </w:rPr>
        <w:t xml:space="preserve"> Two curves: Group 1 monotherapy (slower descent, normalisation </w:t>
      </w:r>
      <w:r>
        <w:rPr>
          <w:sz w:val="28"/>
          <w:szCs w:val="28"/>
          <w:lang w:val="en-US"/>
        </w:rPr>
        <w:lastRenderedPageBreak/>
        <w:t>~day 4.2) and Group 2 combination therapy (faster, normalisation ~</w:t>
      </w:r>
      <w:r>
        <w:rPr>
          <w:sz w:val="28"/>
          <w:szCs w:val="28"/>
          <w:lang w:val="en-US"/>
        </w:rPr>
        <w:t>day 2.4). Shaded areas represent ±SD. Dashed line at 37.2 °C (normalisation threshold).]</w:t>
      </w:r>
    </w:p>
    <w:p w:rsidR="00B214A0" w:rsidRPr="00A512F4" w:rsidRDefault="00B214A0">
      <w:pPr>
        <w:pStyle w:val="a3"/>
        <w:spacing w:before="0" w:beforeAutospacing="0" w:after="0" w:afterAutospacing="0" w:line="360" w:lineRule="auto"/>
        <w:ind w:firstLine="567"/>
        <w:jc w:val="center"/>
        <w:rPr>
          <w:lang w:val="en-US"/>
        </w:rPr>
      </w:pPr>
    </w:p>
    <w:p w:rsidR="00B214A0" w:rsidRPr="00A512F4" w:rsidRDefault="007D6049">
      <w:pPr>
        <w:pStyle w:val="a3"/>
        <w:spacing w:before="0" w:beforeAutospacing="0" w:after="0" w:afterAutospacing="0" w:line="360" w:lineRule="auto"/>
        <w:ind w:firstLine="567"/>
        <w:jc w:val="center"/>
        <w:rPr>
          <w:lang w:val="en-US"/>
        </w:rPr>
      </w:pPr>
      <w:proofErr w:type="gramStart"/>
      <w:r>
        <w:rPr>
          <w:b/>
          <w:i/>
          <w:sz w:val="28"/>
          <w:szCs w:val="28"/>
          <w:lang w:val="en-US"/>
        </w:rPr>
        <w:t>Table 1.</w:t>
      </w:r>
      <w:proofErr w:type="gramEnd"/>
      <w:r>
        <w:rPr>
          <w:b/>
          <w:i/>
          <w:sz w:val="28"/>
          <w:szCs w:val="28"/>
          <w:lang w:val="en-US"/>
        </w:rPr>
        <w:t xml:space="preserve"> </w:t>
      </w:r>
      <w:proofErr w:type="gramStart"/>
      <w:r>
        <w:rPr>
          <w:b/>
          <w:i/>
          <w:sz w:val="28"/>
          <w:szCs w:val="28"/>
          <w:lang w:val="en-US"/>
        </w:rPr>
        <w:t>Summary of key clinical outcomes by treatment group.</w:t>
      </w:r>
      <w:proofErr w:type="gramEnd"/>
    </w:p>
    <w:p w:rsidR="00B214A0" w:rsidRPr="00A512F4" w:rsidRDefault="00B214A0">
      <w:pPr>
        <w:pStyle w:val="a3"/>
        <w:spacing w:before="0" w:beforeAutospacing="0" w:after="0" w:afterAutospacing="0" w:line="360" w:lineRule="auto"/>
        <w:ind w:firstLine="567"/>
        <w:jc w:val="center"/>
        <w:rPr>
          <w:lang w:val="en-US"/>
        </w:rPr>
      </w:pPr>
    </w:p>
    <w:tbl>
      <w:tblPr>
        <w:tblStyle w:val="ad"/>
        <w:tblW w:w="0" w:type="auto"/>
        <w:tblLook w:val="04A0" w:firstRow="1" w:lastRow="0" w:firstColumn="1" w:lastColumn="0" w:noHBand="0" w:noVBand="1"/>
      </w:tblPr>
      <w:tblGrid>
        <w:gridCol w:w="3284"/>
        <w:gridCol w:w="3285"/>
        <w:gridCol w:w="3285"/>
      </w:tblGrid>
      <w:tr w:rsidR="00B214A0">
        <w:tc>
          <w:tcPr>
            <w:tcW w:w="3284" w:type="dxa"/>
          </w:tcPr>
          <w:p w:rsidR="00B214A0" w:rsidRDefault="007D6049">
            <w:pPr>
              <w:pStyle w:val="a3"/>
              <w:spacing w:before="0" w:beforeAutospacing="0" w:after="0" w:afterAutospacing="0" w:line="360" w:lineRule="auto"/>
              <w:jc w:val="center"/>
            </w:pPr>
            <w:r>
              <w:rPr>
                <w:b/>
                <w:sz w:val="28"/>
                <w:szCs w:val="28"/>
                <w:lang w:val="en-US"/>
              </w:rPr>
              <w:t>Outcome</w:t>
            </w:r>
          </w:p>
        </w:tc>
        <w:tc>
          <w:tcPr>
            <w:tcW w:w="3285" w:type="dxa"/>
          </w:tcPr>
          <w:p w:rsidR="00B214A0" w:rsidRDefault="007D6049">
            <w:pPr>
              <w:pStyle w:val="a3"/>
              <w:spacing w:before="0" w:beforeAutospacing="0" w:after="0" w:afterAutospacing="0" w:line="360" w:lineRule="auto"/>
              <w:jc w:val="center"/>
            </w:pPr>
            <w:r>
              <w:rPr>
                <w:b/>
                <w:sz w:val="28"/>
                <w:szCs w:val="28"/>
                <w:lang w:val="en-US"/>
              </w:rPr>
              <w:t>Group 1 (monotherapy)</w:t>
            </w:r>
          </w:p>
        </w:tc>
        <w:tc>
          <w:tcPr>
            <w:tcW w:w="3285" w:type="dxa"/>
          </w:tcPr>
          <w:p w:rsidR="00B214A0" w:rsidRDefault="007D6049">
            <w:pPr>
              <w:pStyle w:val="a3"/>
              <w:spacing w:before="0" w:beforeAutospacing="0" w:after="0" w:afterAutospacing="0" w:line="360" w:lineRule="auto"/>
              <w:jc w:val="center"/>
            </w:pPr>
            <w:r>
              <w:rPr>
                <w:b/>
                <w:sz w:val="28"/>
                <w:szCs w:val="28"/>
                <w:lang w:val="en-US"/>
              </w:rPr>
              <w:t>Group 2 (combination)</w:t>
            </w:r>
          </w:p>
        </w:tc>
      </w:tr>
      <w:tr w:rsidR="00B214A0">
        <w:tc>
          <w:tcPr>
            <w:tcW w:w="3284" w:type="dxa"/>
          </w:tcPr>
          <w:p w:rsidR="00B214A0" w:rsidRDefault="007D6049">
            <w:pPr>
              <w:pStyle w:val="a3"/>
              <w:spacing w:before="0" w:beforeAutospacing="0" w:after="0" w:afterAutospacing="0" w:line="360" w:lineRule="auto"/>
              <w:jc w:val="center"/>
            </w:pPr>
            <w:r>
              <w:rPr>
                <w:sz w:val="28"/>
                <w:szCs w:val="28"/>
                <w:lang w:val="en-US"/>
              </w:rPr>
              <w:t>Temperature normalisation (days)</w:t>
            </w:r>
          </w:p>
        </w:tc>
        <w:tc>
          <w:tcPr>
            <w:tcW w:w="3285" w:type="dxa"/>
          </w:tcPr>
          <w:p w:rsidR="00B214A0" w:rsidRDefault="007D6049">
            <w:pPr>
              <w:pStyle w:val="a3"/>
              <w:spacing w:before="0" w:beforeAutospacing="0" w:after="0" w:afterAutospacing="0" w:line="360" w:lineRule="auto"/>
              <w:jc w:val="center"/>
            </w:pPr>
            <w:r>
              <w:rPr>
                <w:sz w:val="28"/>
                <w:szCs w:val="28"/>
                <w:lang w:val="en-US"/>
              </w:rPr>
              <w:t>4.2 ± 1.1</w:t>
            </w:r>
          </w:p>
        </w:tc>
        <w:tc>
          <w:tcPr>
            <w:tcW w:w="3285" w:type="dxa"/>
          </w:tcPr>
          <w:p w:rsidR="00B214A0" w:rsidRDefault="007D6049">
            <w:pPr>
              <w:pStyle w:val="a3"/>
              <w:spacing w:before="0" w:beforeAutospacing="0" w:after="0" w:afterAutospacing="0" w:line="360" w:lineRule="auto"/>
              <w:jc w:val="center"/>
            </w:pPr>
            <w:r>
              <w:rPr>
                <w:sz w:val="28"/>
                <w:szCs w:val="28"/>
                <w:lang w:val="en-US"/>
              </w:rPr>
              <w:t>2.4 ± 0</w:t>
            </w:r>
            <w:r>
              <w:rPr>
                <w:sz w:val="28"/>
                <w:szCs w:val="28"/>
                <w:lang w:val="en-US"/>
              </w:rPr>
              <w:t>.8*</w:t>
            </w:r>
          </w:p>
        </w:tc>
      </w:tr>
      <w:tr w:rsidR="00B214A0">
        <w:tc>
          <w:tcPr>
            <w:tcW w:w="3284" w:type="dxa"/>
          </w:tcPr>
          <w:p w:rsidR="00B214A0" w:rsidRDefault="007D6049">
            <w:pPr>
              <w:pStyle w:val="a3"/>
              <w:spacing w:before="0" w:beforeAutospacing="0" w:after="0" w:afterAutospacing="0" w:line="360" w:lineRule="auto"/>
              <w:jc w:val="center"/>
            </w:pPr>
            <w:r>
              <w:rPr>
                <w:sz w:val="28"/>
                <w:szCs w:val="28"/>
                <w:lang w:val="en-US"/>
              </w:rPr>
              <w:t>Leucocyte normalisation (day)</w:t>
            </w:r>
          </w:p>
        </w:tc>
        <w:tc>
          <w:tcPr>
            <w:tcW w:w="3285" w:type="dxa"/>
          </w:tcPr>
          <w:p w:rsidR="00B214A0" w:rsidRDefault="007D6049">
            <w:pPr>
              <w:pStyle w:val="a3"/>
              <w:spacing w:before="0" w:beforeAutospacing="0" w:after="0" w:afterAutospacing="0" w:line="360" w:lineRule="auto"/>
              <w:jc w:val="center"/>
            </w:pPr>
            <w:r>
              <w:rPr>
                <w:sz w:val="28"/>
                <w:szCs w:val="28"/>
                <w:lang w:val="en-US"/>
              </w:rPr>
              <w:t>5.8 ± 1.6</w:t>
            </w:r>
          </w:p>
        </w:tc>
        <w:tc>
          <w:tcPr>
            <w:tcW w:w="3285" w:type="dxa"/>
          </w:tcPr>
          <w:p w:rsidR="00B214A0" w:rsidRDefault="007D6049">
            <w:pPr>
              <w:pStyle w:val="a3"/>
              <w:spacing w:before="0" w:beforeAutospacing="0" w:after="0" w:afterAutospacing="0" w:line="360" w:lineRule="auto"/>
              <w:jc w:val="center"/>
            </w:pPr>
            <w:r>
              <w:rPr>
                <w:sz w:val="28"/>
                <w:szCs w:val="28"/>
                <w:lang w:val="en-US"/>
              </w:rPr>
              <w:t>4.1 ± 1.2*</w:t>
            </w:r>
          </w:p>
        </w:tc>
      </w:tr>
      <w:tr w:rsidR="00B214A0">
        <w:tc>
          <w:tcPr>
            <w:tcW w:w="3284" w:type="dxa"/>
          </w:tcPr>
          <w:p w:rsidR="00B214A0" w:rsidRDefault="007D6049">
            <w:pPr>
              <w:pStyle w:val="a3"/>
              <w:spacing w:before="0" w:beforeAutospacing="0" w:after="0" w:afterAutospacing="0" w:line="360" w:lineRule="auto"/>
              <w:jc w:val="center"/>
            </w:pPr>
            <w:r>
              <w:rPr>
                <w:sz w:val="28"/>
                <w:szCs w:val="28"/>
                <w:lang w:val="en-US"/>
              </w:rPr>
              <w:t>Hospitalisation duration (days)</w:t>
            </w:r>
          </w:p>
        </w:tc>
        <w:tc>
          <w:tcPr>
            <w:tcW w:w="3285" w:type="dxa"/>
          </w:tcPr>
          <w:p w:rsidR="00B214A0" w:rsidRDefault="007D6049">
            <w:pPr>
              <w:pStyle w:val="a3"/>
              <w:spacing w:before="0" w:beforeAutospacing="0" w:after="0" w:afterAutospacing="0" w:line="360" w:lineRule="auto"/>
              <w:jc w:val="center"/>
            </w:pPr>
            <w:r>
              <w:rPr>
                <w:sz w:val="28"/>
                <w:szCs w:val="28"/>
                <w:lang w:val="en-US"/>
              </w:rPr>
              <w:t>11.0 ± 2.3</w:t>
            </w:r>
          </w:p>
        </w:tc>
        <w:tc>
          <w:tcPr>
            <w:tcW w:w="3285" w:type="dxa"/>
          </w:tcPr>
          <w:p w:rsidR="00B214A0" w:rsidRDefault="007D6049">
            <w:pPr>
              <w:pStyle w:val="a3"/>
              <w:spacing w:before="0" w:beforeAutospacing="0" w:after="0" w:afterAutospacing="0" w:line="360" w:lineRule="auto"/>
              <w:jc w:val="center"/>
            </w:pPr>
            <w:r>
              <w:rPr>
                <w:sz w:val="28"/>
                <w:szCs w:val="28"/>
                <w:lang w:val="en-US"/>
              </w:rPr>
              <w:t>8.7 ± 1.9*</w:t>
            </w:r>
          </w:p>
        </w:tc>
      </w:tr>
      <w:tr w:rsidR="00B214A0">
        <w:tc>
          <w:tcPr>
            <w:tcW w:w="3284" w:type="dxa"/>
          </w:tcPr>
          <w:p w:rsidR="00B214A0" w:rsidRDefault="007D6049">
            <w:pPr>
              <w:pStyle w:val="a3"/>
              <w:spacing w:before="0" w:beforeAutospacing="0" w:after="0" w:afterAutospacing="0" w:line="360" w:lineRule="auto"/>
              <w:jc w:val="center"/>
            </w:pPr>
            <w:r>
              <w:rPr>
                <w:sz w:val="28"/>
                <w:szCs w:val="28"/>
                <w:lang w:val="en-US"/>
              </w:rPr>
              <w:t>Adverse events (%)</w:t>
            </w:r>
          </w:p>
        </w:tc>
        <w:tc>
          <w:tcPr>
            <w:tcW w:w="3285" w:type="dxa"/>
          </w:tcPr>
          <w:p w:rsidR="00B214A0" w:rsidRDefault="007D6049">
            <w:pPr>
              <w:pStyle w:val="a3"/>
              <w:spacing w:before="0" w:beforeAutospacing="0" w:after="0" w:afterAutospacing="0" w:line="360" w:lineRule="auto"/>
              <w:jc w:val="center"/>
            </w:pPr>
            <w:r>
              <w:rPr>
                <w:sz w:val="28"/>
                <w:szCs w:val="28"/>
                <w:lang w:val="en-US"/>
              </w:rPr>
              <w:t>9.5</w:t>
            </w:r>
          </w:p>
        </w:tc>
        <w:tc>
          <w:tcPr>
            <w:tcW w:w="3285" w:type="dxa"/>
          </w:tcPr>
          <w:p w:rsidR="00B214A0" w:rsidRDefault="007D6049">
            <w:pPr>
              <w:pStyle w:val="a3"/>
              <w:spacing w:before="0" w:beforeAutospacing="0" w:after="0" w:afterAutospacing="0" w:line="360" w:lineRule="auto"/>
              <w:jc w:val="center"/>
            </w:pPr>
            <w:r>
              <w:rPr>
                <w:sz w:val="28"/>
                <w:szCs w:val="28"/>
                <w:lang w:val="en-US"/>
              </w:rPr>
              <w:t>11.9 (ns)</w:t>
            </w:r>
          </w:p>
        </w:tc>
      </w:tr>
    </w:tbl>
    <w:p w:rsidR="00B214A0" w:rsidRDefault="00B214A0">
      <w:pPr>
        <w:pStyle w:val="a3"/>
        <w:spacing w:before="0" w:beforeAutospacing="0" w:after="0" w:afterAutospacing="0" w:line="360" w:lineRule="auto"/>
        <w:ind w:firstLine="567"/>
        <w:jc w:val="center"/>
      </w:pPr>
    </w:p>
    <w:p w:rsidR="00B214A0" w:rsidRDefault="007D6049">
      <w:pPr>
        <w:pStyle w:val="a3"/>
        <w:spacing w:before="0" w:beforeAutospacing="0" w:after="0" w:afterAutospacing="0" w:line="360" w:lineRule="auto"/>
        <w:ind w:firstLine="567"/>
        <w:jc w:val="both"/>
      </w:pPr>
      <w:r>
        <w:rPr>
          <w:b/>
          <w:sz w:val="28"/>
          <w:szCs w:val="28"/>
          <w:lang w:val="en-US"/>
        </w:rPr>
        <w:t>Conclusion</w:t>
      </w:r>
    </w:p>
    <w:p w:rsidR="00B214A0" w:rsidRPr="00A512F4" w:rsidRDefault="007D6049">
      <w:pPr>
        <w:pStyle w:val="a3"/>
        <w:spacing w:before="0" w:beforeAutospacing="0" w:after="0" w:afterAutospacing="0" w:line="360" w:lineRule="auto"/>
        <w:ind w:firstLine="567"/>
        <w:jc w:val="both"/>
        <w:rPr>
          <w:lang w:val="en-US"/>
        </w:rPr>
      </w:pPr>
      <w:r>
        <w:rPr>
          <w:sz w:val="28"/>
          <w:szCs w:val="28"/>
          <w:lang w:val="en-US"/>
        </w:rPr>
        <w:t>Combination antibiotic therapy with amoxicillin/clavulanate and azithromycin provides significantly faster clinical recovery and shorter hospitalisation in patients over 60 with moderate CAP compared with monotherapy. Tolerability of both regimens is compa</w:t>
      </w:r>
      <w:r>
        <w:rPr>
          <w:sz w:val="28"/>
          <w:szCs w:val="28"/>
          <w:lang w:val="en-US"/>
        </w:rPr>
        <w:t>rable. The results support the rationale for wider adoption of combination regimens in elderly CAP management. Future research should investigate the impact of this approach on 30-day mortality and readmission rates.</w:t>
      </w:r>
    </w:p>
    <w:p w:rsidR="00B214A0" w:rsidRPr="00A512F4" w:rsidRDefault="00B214A0">
      <w:pPr>
        <w:pStyle w:val="a3"/>
        <w:spacing w:before="0" w:beforeAutospacing="0" w:after="0" w:afterAutospacing="0" w:line="360" w:lineRule="auto"/>
        <w:ind w:firstLine="567"/>
        <w:jc w:val="both"/>
        <w:rPr>
          <w:lang w:val="en-US"/>
        </w:rPr>
      </w:pPr>
    </w:p>
    <w:p w:rsidR="00B214A0" w:rsidRDefault="007D6049">
      <w:pPr>
        <w:pStyle w:val="a3"/>
        <w:spacing w:before="0" w:beforeAutospacing="0" w:after="0" w:afterAutospacing="0" w:line="360" w:lineRule="auto"/>
        <w:ind w:firstLine="567"/>
        <w:jc w:val="both"/>
      </w:pPr>
      <w:r>
        <w:rPr>
          <w:rStyle w:val="a4"/>
          <w:sz w:val="28"/>
          <w:szCs w:val="28"/>
          <w:lang w:val="en-US"/>
        </w:rPr>
        <w:t>References:</w:t>
      </w:r>
    </w:p>
    <w:p w:rsidR="00B214A0" w:rsidRDefault="007D6049">
      <w:pPr>
        <w:pStyle w:val="a3"/>
        <w:numPr>
          <w:ilvl w:val="0"/>
          <w:numId w:val="3"/>
        </w:numPr>
        <w:spacing w:before="0" w:beforeAutospacing="0" w:after="0" w:afterAutospacing="0" w:line="360" w:lineRule="auto"/>
        <w:ind w:left="0" w:firstLine="567"/>
        <w:jc w:val="both"/>
      </w:pPr>
      <w:r>
        <w:rPr>
          <w:sz w:val="28"/>
          <w:szCs w:val="28"/>
          <w:lang w:val="en-US"/>
        </w:rPr>
        <w:t>Sinopalnikov A.I., Kozlov R.S. [Community-acquired respiratory tract infections: a guide for physicians]. Moscow: Premier MT Publ. – 2021. – 352 p. (In Russ.)</w:t>
      </w:r>
    </w:p>
    <w:p w:rsidR="00B214A0" w:rsidRDefault="007D6049">
      <w:pPr>
        <w:pStyle w:val="a3"/>
        <w:numPr>
          <w:ilvl w:val="0"/>
          <w:numId w:val="3"/>
        </w:numPr>
        <w:spacing w:before="0" w:beforeAutospacing="0" w:after="0" w:afterAutospacing="0" w:line="360" w:lineRule="auto"/>
        <w:ind w:left="0" w:firstLine="567"/>
        <w:jc w:val="both"/>
      </w:pPr>
      <w:r>
        <w:rPr>
          <w:sz w:val="28"/>
          <w:szCs w:val="28"/>
          <w:lang w:val="en-US"/>
        </w:rPr>
        <w:t>Avdeev S.N. [Pneumonia in the elderly: features of aetiology and treatment] // Pulmonologiya. – 2</w:t>
      </w:r>
      <w:r>
        <w:rPr>
          <w:sz w:val="28"/>
          <w:szCs w:val="28"/>
          <w:lang w:val="en-US"/>
        </w:rPr>
        <w:t>022. – Vol. 32, no. 1. – pp. 88–97. (In Russ.)</w:t>
      </w:r>
    </w:p>
    <w:p w:rsidR="00B214A0" w:rsidRPr="00A512F4" w:rsidRDefault="007D6049">
      <w:pPr>
        <w:pStyle w:val="a3"/>
        <w:numPr>
          <w:ilvl w:val="0"/>
          <w:numId w:val="3"/>
        </w:numPr>
        <w:spacing w:before="0" w:beforeAutospacing="0" w:after="0" w:afterAutospacing="0" w:line="360" w:lineRule="auto"/>
        <w:ind w:left="0" w:firstLine="567"/>
        <w:jc w:val="both"/>
        <w:rPr>
          <w:lang w:val="en-US"/>
        </w:rPr>
      </w:pPr>
      <w:r>
        <w:rPr>
          <w:sz w:val="28"/>
          <w:szCs w:val="28"/>
          <w:lang w:val="en-US"/>
        </w:rPr>
        <w:t>Clinical guidelines. Community-acquired pneumonia in adults. Moscow: Russian Respiratory Society. – 2019. – 88 p. (In Russ.)</w:t>
      </w:r>
    </w:p>
    <w:p w:rsidR="00B214A0" w:rsidRDefault="007D6049">
      <w:pPr>
        <w:pStyle w:val="a3"/>
        <w:numPr>
          <w:ilvl w:val="0"/>
          <w:numId w:val="3"/>
        </w:numPr>
        <w:spacing w:before="0" w:beforeAutospacing="0" w:after="0" w:afterAutospacing="0" w:line="360" w:lineRule="auto"/>
        <w:ind w:left="0" w:firstLine="567"/>
        <w:jc w:val="both"/>
      </w:pPr>
      <w:proofErr w:type="spellStart"/>
      <w:r>
        <w:rPr>
          <w:sz w:val="28"/>
          <w:szCs w:val="28"/>
          <w:lang w:val="en-US"/>
        </w:rPr>
        <w:lastRenderedPageBreak/>
        <w:t>Mishlanov</w:t>
      </w:r>
      <w:proofErr w:type="spellEnd"/>
      <w:r>
        <w:rPr>
          <w:sz w:val="28"/>
          <w:szCs w:val="28"/>
          <w:lang w:val="en-US"/>
        </w:rPr>
        <w:t xml:space="preserve"> </w:t>
      </w:r>
      <w:proofErr w:type="spellStart"/>
      <w:r>
        <w:rPr>
          <w:sz w:val="28"/>
          <w:szCs w:val="28"/>
          <w:lang w:val="en-US"/>
        </w:rPr>
        <w:t>V.Yu</w:t>
      </w:r>
      <w:proofErr w:type="spellEnd"/>
      <w:r>
        <w:rPr>
          <w:sz w:val="28"/>
          <w:szCs w:val="28"/>
          <w:lang w:val="en-US"/>
        </w:rPr>
        <w:t>., Mishlanova S.L. [Combined antibiotic therapy for severe community-a</w:t>
      </w:r>
      <w:r>
        <w:rPr>
          <w:sz w:val="28"/>
          <w:szCs w:val="28"/>
          <w:lang w:val="en-US"/>
        </w:rPr>
        <w:t>cquired pneumonia] // Terapevticheskiy arkhiv. – 2023. – Vol. 95, no. 3. – pp. 203–210. (In Russ.)</w:t>
      </w:r>
    </w:p>
    <w:p w:rsidR="00B214A0" w:rsidRDefault="007D6049">
      <w:pPr>
        <w:pStyle w:val="a3"/>
        <w:numPr>
          <w:ilvl w:val="0"/>
          <w:numId w:val="3"/>
        </w:numPr>
        <w:spacing w:before="0" w:beforeAutospacing="0" w:after="0" w:afterAutospacing="0" w:line="360" w:lineRule="auto"/>
        <w:ind w:left="0" w:firstLine="567"/>
        <w:jc w:val="both"/>
      </w:pPr>
      <w:r>
        <w:rPr>
          <w:sz w:val="28"/>
          <w:szCs w:val="28"/>
          <w:lang w:val="en-US"/>
        </w:rPr>
        <w:t>Nonikov V.E. [Atypical pneumonias: a modern view on aetiology and treatment] // Lechashchiy vrach. – 2022. – no. 2. – pp. 17–23. (In Russ.)</w:t>
      </w:r>
    </w:p>
    <w:p w:rsidR="00B214A0" w:rsidRPr="00A512F4" w:rsidRDefault="007D6049">
      <w:pPr>
        <w:pStyle w:val="a3"/>
        <w:numPr>
          <w:ilvl w:val="0"/>
          <w:numId w:val="3"/>
        </w:numPr>
        <w:spacing w:before="0" w:beforeAutospacing="0" w:after="0" w:afterAutospacing="0" w:line="360" w:lineRule="auto"/>
        <w:ind w:left="0" w:firstLine="567"/>
        <w:jc w:val="both"/>
        <w:rPr>
          <w:lang w:val="en-US"/>
        </w:rPr>
      </w:pPr>
      <w:r>
        <w:rPr>
          <w:sz w:val="28"/>
          <w:szCs w:val="28"/>
          <w:lang w:val="en-US"/>
        </w:rPr>
        <w:t xml:space="preserve">Fine M.J., Auble </w:t>
      </w:r>
      <w:r>
        <w:rPr>
          <w:sz w:val="28"/>
          <w:szCs w:val="28"/>
          <w:lang w:val="en-US"/>
        </w:rPr>
        <w:t>T.E., Yealy D.M. et al. A prediction rule to identify low-risk patients with community-acquired pneumonia // New England Journal of Medicine. – 1997. – Vol. 336, no. 4. – pp. 243–250.</w:t>
      </w:r>
    </w:p>
    <w:p w:rsidR="00B214A0" w:rsidRDefault="007D6049">
      <w:pPr>
        <w:pStyle w:val="a3"/>
        <w:numPr>
          <w:ilvl w:val="0"/>
          <w:numId w:val="3"/>
        </w:numPr>
        <w:spacing w:before="0" w:beforeAutospacing="0" w:after="0" w:afterAutospacing="0" w:line="360" w:lineRule="auto"/>
        <w:ind w:left="0" w:firstLine="567"/>
        <w:jc w:val="both"/>
      </w:pPr>
      <w:proofErr w:type="spellStart"/>
      <w:r>
        <w:rPr>
          <w:sz w:val="28"/>
          <w:szCs w:val="28"/>
          <w:lang w:val="en-US"/>
        </w:rPr>
        <w:t>Rebrova</w:t>
      </w:r>
      <w:proofErr w:type="spellEnd"/>
      <w:r>
        <w:rPr>
          <w:sz w:val="28"/>
          <w:szCs w:val="28"/>
          <w:lang w:val="en-US"/>
        </w:rPr>
        <w:t xml:space="preserve"> </w:t>
      </w:r>
      <w:proofErr w:type="spellStart"/>
      <w:r>
        <w:rPr>
          <w:sz w:val="28"/>
          <w:szCs w:val="28"/>
          <w:lang w:val="en-US"/>
        </w:rPr>
        <w:t>O.Yu</w:t>
      </w:r>
      <w:proofErr w:type="spellEnd"/>
      <w:r>
        <w:rPr>
          <w:sz w:val="28"/>
          <w:szCs w:val="28"/>
          <w:lang w:val="en-US"/>
        </w:rPr>
        <w:t xml:space="preserve">. [Statistical analysis of medical data. Application of the </w:t>
      </w:r>
      <w:r>
        <w:rPr>
          <w:sz w:val="28"/>
          <w:szCs w:val="28"/>
          <w:lang w:val="en-US"/>
        </w:rPr>
        <w:t>STATISTICA package]. Moscow: MediaSfera Publ. – 2020. – 312 p. (In Russ.)</w:t>
      </w:r>
    </w:p>
    <w:p w:rsidR="00B214A0" w:rsidRPr="00A512F4" w:rsidRDefault="007D6049">
      <w:pPr>
        <w:pStyle w:val="a3"/>
        <w:numPr>
          <w:ilvl w:val="0"/>
          <w:numId w:val="3"/>
        </w:numPr>
        <w:spacing w:before="0" w:beforeAutospacing="0" w:after="0" w:afterAutospacing="0" w:line="360" w:lineRule="auto"/>
        <w:ind w:left="0" w:firstLine="567"/>
        <w:jc w:val="both"/>
        <w:rPr>
          <w:lang w:val="en-US"/>
        </w:rPr>
      </w:pPr>
      <w:r>
        <w:rPr>
          <w:sz w:val="28"/>
          <w:szCs w:val="28"/>
          <w:lang w:val="en-US"/>
        </w:rPr>
        <w:t>Lim W.S., Baudouin S.V., George R.C. et al. BTS guidelines for the management of community acquired pneumonia in adults: update 2009 // Thorax. – 2009. – Vol. 64, suppl. 3. – pp. 1–5</w:t>
      </w:r>
      <w:r>
        <w:rPr>
          <w:sz w:val="28"/>
          <w:szCs w:val="28"/>
          <w:lang w:val="en-US"/>
        </w:rPr>
        <w:t>5.</w:t>
      </w:r>
    </w:p>
    <w:p w:rsidR="00B214A0" w:rsidRPr="00A512F4" w:rsidRDefault="00B214A0">
      <w:pPr>
        <w:pStyle w:val="a3"/>
        <w:spacing w:before="0" w:beforeAutospacing="0" w:after="0" w:afterAutospacing="0" w:line="360" w:lineRule="auto"/>
        <w:ind w:firstLine="567"/>
        <w:jc w:val="both"/>
        <w:rPr>
          <w:lang w:val="en-US"/>
        </w:rPr>
      </w:pPr>
    </w:p>
    <w:p w:rsidR="00B214A0" w:rsidRPr="00A512F4" w:rsidRDefault="00B214A0">
      <w:pPr>
        <w:spacing w:after="0" w:line="360" w:lineRule="auto"/>
        <w:ind w:firstLine="567"/>
        <w:jc w:val="both"/>
        <w:rPr>
          <w:lang w:val="en-US"/>
        </w:rPr>
      </w:pPr>
    </w:p>
    <w:sectPr w:rsidR="00B214A0" w:rsidRPr="00A512F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49" w:rsidRDefault="007D6049" w:rsidP="0072153F">
      <w:pPr>
        <w:spacing w:after="0" w:line="240" w:lineRule="auto"/>
      </w:pPr>
      <w:r>
        <w:separator/>
      </w:r>
    </w:p>
  </w:endnote>
  <w:endnote w:type="continuationSeparator" w:id="0">
    <w:p w:rsidR="007D6049" w:rsidRDefault="007D6049" w:rsidP="007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49" w:rsidRDefault="007D6049" w:rsidP="0072153F">
      <w:pPr>
        <w:spacing w:after="0" w:line="240" w:lineRule="auto"/>
      </w:pPr>
      <w:r>
        <w:separator/>
      </w:r>
    </w:p>
  </w:footnote>
  <w:footnote w:type="continuationSeparator" w:id="0">
    <w:p w:rsidR="007D6049" w:rsidRDefault="007D6049" w:rsidP="00721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29AE"/>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647BF"/>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63FCE"/>
    <w:multiLevelType w:val="hybridMultilevel"/>
    <w:tmpl w:val="EE885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F"/>
    <w:rsid w:val="0004003B"/>
    <w:rsid w:val="00092828"/>
    <w:rsid w:val="0009389A"/>
    <w:rsid w:val="000A6015"/>
    <w:rsid w:val="00101737"/>
    <w:rsid w:val="00113985"/>
    <w:rsid w:val="0014524E"/>
    <w:rsid w:val="00151215"/>
    <w:rsid w:val="00165C7C"/>
    <w:rsid w:val="0017264F"/>
    <w:rsid w:val="001A7699"/>
    <w:rsid w:val="002201D7"/>
    <w:rsid w:val="00221F0D"/>
    <w:rsid w:val="00256BD5"/>
    <w:rsid w:val="002643AF"/>
    <w:rsid w:val="00273340"/>
    <w:rsid w:val="00287C4F"/>
    <w:rsid w:val="002D245D"/>
    <w:rsid w:val="002D6583"/>
    <w:rsid w:val="00312244"/>
    <w:rsid w:val="003408B7"/>
    <w:rsid w:val="003647DE"/>
    <w:rsid w:val="003E170A"/>
    <w:rsid w:val="003E5264"/>
    <w:rsid w:val="003F64A7"/>
    <w:rsid w:val="004470FA"/>
    <w:rsid w:val="00495577"/>
    <w:rsid w:val="00533893"/>
    <w:rsid w:val="005414AB"/>
    <w:rsid w:val="00550EF4"/>
    <w:rsid w:val="00553E19"/>
    <w:rsid w:val="00572407"/>
    <w:rsid w:val="00597F6F"/>
    <w:rsid w:val="005A0FCF"/>
    <w:rsid w:val="005A55AD"/>
    <w:rsid w:val="005F2660"/>
    <w:rsid w:val="00605990"/>
    <w:rsid w:val="006340C2"/>
    <w:rsid w:val="00646555"/>
    <w:rsid w:val="00650DFC"/>
    <w:rsid w:val="00667C08"/>
    <w:rsid w:val="00674D11"/>
    <w:rsid w:val="0068543B"/>
    <w:rsid w:val="006A46BF"/>
    <w:rsid w:val="006C3415"/>
    <w:rsid w:val="0072153F"/>
    <w:rsid w:val="00735ADA"/>
    <w:rsid w:val="00780309"/>
    <w:rsid w:val="00790D62"/>
    <w:rsid w:val="007D6049"/>
    <w:rsid w:val="007E0BFE"/>
    <w:rsid w:val="007F0AEB"/>
    <w:rsid w:val="008202D6"/>
    <w:rsid w:val="0085057A"/>
    <w:rsid w:val="00850A2E"/>
    <w:rsid w:val="008946B6"/>
    <w:rsid w:val="008D1FC2"/>
    <w:rsid w:val="008D64B4"/>
    <w:rsid w:val="00922A1B"/>
    <w:rsid w:val="00946981"/>
    <w:rsid w:val="009523FF"/>
    <w:rsid w:val="009B7733"/>
    <w:rsid w:val="009C2BD9"/>
    <w:rsid w:val="00A06D28"/>
    <w:rsid w:val="00A512F4"/>
    <w:rsid w:val="00AC2E61"/>
    <w:rsid w:val="00AF1D73"/>
    <w:rsid w:val="00AF324E"/>
    <w:rsid w:val="00B214A0"/>
    <w:rsid w:val="00B25146"/>
    <w:rsid w:val="00B44A8C"/>
    <w:rsid w:val="00B4704B"/>
    <w:rsid w:val="00B57E92"/>
    <w:rsid w:val="00B61EC1"/>
    <w:rsid w:val="00B96E3F"/>
    <w:rsid w:val="00BA0001"/>
    <w:rsid w:val="00BB7777"/>
    <w:rsid w:val="00C258FC"/>
    <w:rsid w:val="00C40501"/>
    <w:rsid w:val="00C62C75"/>
    <w:rsid w:val="00C82BE0"/>
    <w:rsid w:val="00D26FB3"/>
    <w:rsid w:val="00D82DF8"/>
    <w:rsid w:val="00D9395C"/>
    <w:rsid w:val="00D96060"/>
    <w:rsid w:val="00DE74A0"/>
    <w:rsid w:val="00E17DCF"/>
    <w:rsid w:val="00E24DE3"/>
    <w:rsid w:val="00E33732"/>
    <w:rsid w:val="00E3588A"/>
    <w:rsid w:val="00E5783E"/>
    <w:rsid w:val="00E57855"/>
    <w:rsid w:val="00E672B9"/>
    <w:rsid w:val="00EA5B65"/>
    <w:rsid w:val="00EB32C2"/>
    <w:rsid w:val="00EE624A"/>
    <w:rsid w:val="00F20382"/>
    <w:rsid w:val="00F44D0D"/>
    <w:rsid w:val="00F54D2D"/>
    <w:rsid w:val="00F86B5A"/>
    <w:rsid w:val="00FA1D3E"/>
    <w:rsid w:val="00FA4181"/>
    <w:rsid w:val="00FC3B43"/>
    <w:rsid w:val="00FC401F"/>
    <w:rsid w:val="00FD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5703">
      <w:bodyDiv w:val="1"/>
      <w:marLeft w:val="0"/>
      <w:marRight w:val="0"/>
      <w:marTop w:val="0"/>
      <w:marBottom w:val="0"/>
      <w:divBdr>
        <w:top w:val="none" w:sz="0" w:space="0" w:color="auto"/>
        <w:left w:val="none" w:sz="0" w:space="0" w:color="auto"/>
        <w:bottom w:val="none" w:sz="0" w:space="0" w:color="auto"/>
        <w:right w:val="none" w:sz="0" w:space="0" w:color="auto"/>
      </w:divBdr>
      <w:divsChild>
        <w:div w:id="1057629929">
          <w:marLeft w:val="0"/>
          <w:marRight w:val="0"/>
          <w:marTop w:val="0"/>
          <w:marBottom w:val="0"/>
          <w:divBdr>
            <w:top w:val="none" w:sz="0" w:space="0" w:color="auto"/>
            <w:left w:val="none" w:sz="0" w:space="0" w:color="auto"/>
            <w:bottom w:val="none" w:sz="0" w:space="0" w:color="auto"/>
            <w:right w:val="none" w:sz="0" w:space="0" w:color="auto"/>
          </w:divBdr>
          <w:divsChild>
            <w:div w:id="505945107">
              <w:marLeft w:val="0"/>
              <w:marRight w:val="0"/>
              <w:marTop w:val="0"/>
              <w:marBottom w:val="0"/>
              <w:divBdr>
                <w:top w:val="none" w:sz="0" w:space="0" w:color="auto"/>
                <w:left w:val="none" w:sz="0" w:space="0" w:color="auto"/>
                <w:bottom w:val="none" w:sz="0" w:space="0" w:color="auto"/>
                <w:right w:val="none" w:sz="0" w:space="0" w:color="auto"/>
              </w:divBdr>
            </w:div>
            <w:div w:id="2018653896">
              <w:marLeft w:val="0"/>
              <w:marRight w:val="0"/>
              <w:marTop w:val="0"/>
              <w:marBottom w:val="0"/>
              <w:divBdr>
                <w:top w:val="none" w:sz="0" w:space="0" w:color="auto"/>
                <w:left w:val="none" w:sz="0" w:space="0" w:color="auto"/>
                <w:bottom w:val="none" w:sz="0" w:space="0" w:color="auto"/>
                <w:right w:val="none" w:sz="0" w:space="0" w:color="auto"/>
              </w:divBdr>
              <w:divsChild>
                <w:div w:id="5369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7875">
          <w:marLeft w:val="0"/>
          <w:marRight w:val="0"/>
          <w:marTop w:val="0"/>
          <w:marBottom w:val="0"/>
          <w:divBdr>
            <w:top w:val="none" w:sz="0" w:space="0" w:color="auto"/>
            <w:left w:val="none" w:sz="0" w:space="0" w:color="auto"/>
            <w:bottom w:val="none" w:sz="0" w:space="0" w:color="auto"/>
            <w:right w:val="none" w:sz="0" w:space="0" w:color="auto"/>
          </w:divBdr>
          <w:divsChild>
            <w:div w:id="799954727">
              <w:marLeft w:val="0"/>
              <w:marRight w:val="0"/>
              <w:marTop w:val="0"/>
              <w:marBottom w:val="0"/>
              <w:divBdr>
                <w:top w:val="none" w:sz="0" w:space="0" w:color="auto"/>
                <w:left w:val="none" w:sz="0" w:space="0" w:color="auto"/>
                <w:bottom w:val="none" w:sz="0" w:space="0" w:color="auto"/>
                <w:right w:val="none" w:sz="0" w:space="0" w:color="auto"/>
              </w:divBdr>
              <w:divsChild>
                <w:div w:id="1916090994">
                  <w:marLeft w:val="0"/>
                  <w:marRight w:val="0"/>
                  <w:marTop w:val="0"/>
                  <w:marBottom w:val="0"/>
                  <w:divBdr>
                    <w:top w:val="none" w:sz="0" w:space="0" w:color="auto"/>
                    <w:left w:val="none" w:sz="0" w:space="0" w:color="auto"/>
                    <w:bottom w:val="none" w:sz="0" w:space="0" w:color="auto"/>
                    <w:right w:val="none" w:sz="0" w:space="0" w:color="auto"/>
                  </w:divBdr>
                  <w:divsChild>
                    <w:div w:id="1523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Pages>
  <Words>1298</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Rew1</cp:lastModifiedBy>
  <cp:revision>18</cp:revision>
  <dcterms:created xsi:type="dcterms:W3CDTF">2026-05-07T12:16:00Z</dcterms:created>
  <dcterms:modified xsi:type="dcterms:W3CDTF">2026-05-27T14:40:00Z</dcterms:modified>
</cp:coreProperties>
</file>