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4D" w:rsidRPr="00FC209C" w:rsidRDefault="009F478C">
      <w:pPr>
        <w:spacing w:after="0" w:line="360" w:lineRule="auto"/>
        <w:ind w:firstLine="709"/>
        <w:jc w:val="right"/>
        <w:rPr>
          <w:sz w:val="24"/>
          <w:szCs w:val="24"/>
        </w:rPr>
      </w:pPr>
      <w:r w:rsidRPr="00FC209C">
        <w:rPr>
          <w:rFonts w:ascii="Times New Roman" w:hAnsi="Times New Roman" w:cs="Times New Roman"/>
          <w:b/>
          <w:bCs/>
          <w:sz w:val="24"/>
          <w:szCs w:val="24"/>
        </w:rPr>
        <w:t xml:space="preserve">Статья поступила в редакцию: </w:t>
      </w:r>
      <w:r w:rsidRPr="00FC20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12.02.2026</w:t>
      </w:r>
    </w:p>
    <w:p w:rsidR="009B034D" w:rsidRPr="00FC209C" w:rsidRDefault="009F478C">
      <w:pPr>
        <w:spacing w:after="0" w:line="360" w:lineRule="auto"/>
        <w:ind w:firstLine="709"/>
        <w:jc w:val="right"/>
        <w:rPr>
          <w:sz w:val="24"/>
          <w:szCs w:val="24"/>
        </w:rPr>
      </w:pPr>
      <w:r w:rsidRPr="00FC209C">
        <w:rPr>
          <w:rFonts w:ascii="Times New Roman" w:hAnsi="Times New Roman" w:cs="Times New Roman"/>
          <w:b/>
          <w:bCs/>
          <w:sz w:val="24"/>
          <w:szCs w:val="24"/>
        </w:rPr>
        <w:t xml:space="preserve">Статья принята к публикации: </w:t>
      </w:r>
      <w:r w:rsidRPr="00FC20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28.02.2026</w:t>
      </w:r>
    </w:p>
    <w:p w:rsidR="009B034D" w:rsidRPr="00FC209C" w:rsidRDefault="009F478C">
      <w:pPr>
        <w:spacing w:after="0" w:line="360" w:lineRule="auto"/>
        <w:ind w:firstLine="709"/>
        <w:jc w:val="right"/>
        <w:rPr>
          <w:sz w:val="24"/>
          <w:szCs w:val="24"/>
        </w:rPr>
      </w:pPr>
      <w:r w:rsidRPr="00FC209C">
        <w:rPr>
          <w:rFonts w:ascii="Times New Roman" w:hAnsi="Times New Roman" w:cs="Times New Roman"/>
          <w:b/>
          <w:bCs/>
          <w:sz w:val="24"/>
          <w:szCs w:val="24"/>
        </w:rPr>
        <w:t xml:space="preserve">Статья опубликована: </w:t>
      </w:r>
      <w:r w:rsidRPr="00FC20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11.05.2026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C209C">
        <w:rPr>
          <w:rStyle w:val="a4"/>
          <w:sz w:val="28"/>
          <w:szCs w:val="28"/>
        </w:rPr>
        <w:t xml:space="preserve">УДК </w:t>
      </w:r>
      <w:r w:rsidRPr="00FC209C">
        <w:rPr>
          <w:rStyle w:val="a4"/>
          <w:b w:val="0"/>
          <w:sz w:val="28"/>
          <w:szCs w:val="28"/>
        </w:rPr>
        <w:t>330.341.1:338.2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C209C">
        <w:rPr>
          <w:rStyle w:val="a4"/>
          <w:sz w:val="28"/>
          <w:szCs w:val="28"/>
        </w:rPr>
        <w:t>ЦИФРОВАЯ ТРАНСФОРМАЦИЯ И РЕЗУЛЬТАТИВНОСТЬ ПРЕДПРИЯТИЙ РОССИЙСКОЙ ОБРАБАТЫВАЮЩЕЙ ПРОМЫШЛЕННОСТИ: ДАННЫЕ ПАНЕЛЬНОГО АНАЛИЗА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C209C">
        <w:rPr>
          <w:b/>
          <w:i/>
          <w:sz w:val="28"/>
          <w:szCs w:val="28"/>
        </w:rPr>
        <w:t>Никитин Дмитрий Александрович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C209C">
        <w:rPr>
          <w:i/>
          <w:sz w:val="28"/>
          <w:szCs w:val="28"/>
        </w:rPr>
        <w:t>д-р экон. наук, профессор,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C209C">
        <w:rPr>
          <w:i/>
          <w:sz w:val="28"/>
          <w:szCs w:val="28"/>
        </w:rPr>
        <w:t>департамент корпоративных финансов и управления, НИУ «Высшая школа экономики»,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C209C">
        <w:rPr>
          <w:i/>
          <w:sz w:val="28"/>
          <w:szCs w:val="28"/>
        </w:rPr>
        <w:t>Москва, Россия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C209C">
        <w:rPr>
          <w:i/>
          <w:sz w:val="28"/>
          <w:szCs w:val="28"/>
        </w:rPr>
        <w:t>d.nikitin@hse.ru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 w:rsidRPr="00FC209C">
        <w:rPr>
          <w:rStyle w:val="a4"/>
          <w:sz w:val="28"/>
          <w:szCs w:val="28"/>
          <w:lang w:val="en-US"/>
        </w:rPr>
        <w:t>DIGITAL TRANSFORMATION AND FIRM PERFORMANCE IN THE RUSSIAN MANUFACTURING SECTOR: EVIDENCE FROM PANEL DATA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en-US"/>
        </w:rPr>
      </w:pPr>
      <w:proofErr w:type="spellStart"/>
      <w:r w:rsidRPr="00FC209C">
        <w:rPr>
          <w:b/>
          <w:i/>
          <w:sz w:val="28"/>
          <w:szCs w:val="28"/>
          <w:lang w:val="en-US"/>
        </w:rPr>
        <w:t>Nikitin</w:t>
      </w:r>
      <w:proofErr w:type="spellEnd"/>
      <w:r w:rsidRPr="00FC209C">
        <w:rPr>
          <w:b/>
          <w:i/>
          <w:sz w:val="28"/>
          <w:szCs w:val="28"/>
          <w:lang w:val="en-US"/>
        </w:rPr>
        <w:t xml:space="preserve"> Dmitry </w:t>
      </w:r>
      <w:proofErr w:type="spellStart"/>
      <w:r w:rsidRPr="00FC209C">
        <w:rPr>
          <w:b/>
          <w:i/>
          <w:sz w:val="28"/>
          <w:szCs w:val="28"/>
          <w:lang w:val="en-US"/>
        </w:rPr>
        <w:t>Alexandrovich</w:t>
      </w:r>
      <w:proofErr w:type="spellEnd"/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en-US"/>
        </w:rPr>
      </w:pPr>
      <w:r w:rsidRPr="00FC209C">
        <w:rPr>
          <w:i/>
          <w:sz w:val="28"/>
          <w:szCs w:val="28"/>
          <w:lang w:val="en-US"/>
        </w:rPr>
        <w:t>Doctor of Economic Sciences, Professor,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en-US"/>
        </w:rPr>
      </w:pPr>
      <w:r w:rsidRPr="00FC209C">
        <w:rPr>
          <w:i/>
          <w:sz w:val="28"/>
          <w:szCs w:val="28"/>
          <w:lang w:val="en-US"/>
        </w:rPr>
        <w:t>Department of Corporate Finance and Governance, National Research University Higher School of Economics,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en-US"/>
        </w:rPr>
      </w:pPr>
      <w:r w:rsidRPr="00FC209C">
        <w:rPr>
          <w:i/>
          <w:sz w:val="28"/>
          <w:szCs w:val="28"/>
          <w:lang w:val="en-US"/>
        </w:rPr>
        <w:t>Moscow, Russia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en-US"/>
        </w:rPr>
      </w:pPr>
      <w:r w:rsidRPr="00FC209C">
        <w:rPr>
          <w:i/>
          <w:sz w:val="28"/>
          <w:szCs w:val="28"/>
          <w:lang w:val="en-US"/>
        </w:rPr>
        <w:t>d.nikitin@hse.ru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C209C">
        <w:rPr>
          <w:rStyle w:val="a4"/>
          <w:sz w:val="28"/>
          <w:szCs w:val="28"/>
        </w:rPr>
        <w:t>Аннотация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 xml:space="preserve">Цифровая трансформация стала ключевым стратегическим императивом для промышленных предприятий, однако её взаимосвязь с результативностью </w:t>
      </w:r>
      <w:r w:rsidRPr="00FC209C">
        <w:rPr>
          <w:sz w:val="28"/>
          <w:szCs w:val="28"/>
        </w:rPr>
        <w:lastRenderedPageBreak/>
        <w:t xml:space="preserve">на уровне фирмы остаётся эмпирически дискуссионной. В настоящем исследовании изучается влияние интенсивности цифровых инвестиций на совокупную факторную производительность (СФП), рентабельность активов (ROA) и рост выручки в сбалансированной панели из 487 российских предприятий обрабатывающей промышленности за 2018–2024 годы. Регрессия с фиксированными эффектами и инструментальными переменными (IV-FE) показала, что увеличение коэффициента цифровых инвестиций на единицу ассоциировано с ростом СФП на 4,2% (p &lt; 0,01) и улучшением ROA на 1,8 п.п. (p &lt; 0,05) с двухлетним лагом. Эффект гетерогенен: крупные фирмы и предприятия </w:t>
      </w:r>
      <w:proofErr w:type="gramStart"/>
      <w:r w:rsidRPr="00FC209C">
        <w:rPr>
          <w:sz w:val="28"/>
          <w:szCs w:val="28"/>
        </w:rPr>
        <w:t>наукоёмких</w:t>
      </w:r>
      <w:proofErr w:type="gramEnd"/>
      <w:r w:rsidRPr="00FC209C">
        <w:rPr>
          <w:sz w:val="28"/>
          <w:szCs w:val="28"/>
        </w:rPr>
        <w:t xml:space="preserve"> подотраслей получают непропорционально более высокие выгоды. Полученные результаты подчёркивают роль абсорбционной ёмкости и управленческих компетенций как граничных условий реализации преимуществ цифровой трансформации.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FC209C">
        <w:rPr>
          <w:rStyle w:val="a4"/>
          <w:sz w:val="28"/>
          <w:szCs w:val="28"/>
          <w:lang w:val="en-US"/>
        </w:rPr>
        <w:t>Abstract</w:t>
      </w:r>
    </w:p>
    <w:p w:rsidR="009B034D" w:rsidRPr="00FC209C" w:rsidRDefault="003B19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Digital transformation has emerged as a key strategic imperative for industrial enterprises; however, its relationship with firm-level performance remains a subject of empirical debate. This study examines the impact of digital investment intensity on total factor productivity (TFP), return on assets (ROA), and revenue growth using a balanced panel of 487 Russian manufacturing enterprises spanning the years 2018–2024. Fixed-effects regression with instrumental variables (IV-FE) revealed that a one-unit increase in the digital investment ratio is associated with a 4.2% rise in TFP (p &lt; 0.01) and a 1.8 percentage point improvement in ROA (p &lt; 0.05), with a two-year lag. This effect is heterogeneous: large firms and enterprises within knowledge-intensive subsectors derive disproportionately greater benefits. These findings underscore the critical role of absorptive capacity and managerial competencies as boundary conditions for realizing the benefits of digital transformation.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rStyle w:val="a4"/>
          <w:sz w:val="28"/>
          <w:szCs w:val="28"/>
        </w:rPr>
        <w:t>Ключевые слова:</w:t>
      </w:r>
      <w:r w:rsidRPr="00FC209C">
        <w:rPr>
          <w:sz w:val="28"/>
          <w:szCs w:val="28"/>
        </w:rPr>
        <w:t xml:space="preserve"> цифровая трансформация, совокупная факторная производительность, панельные данные, обрабатывающая промышленность, Россия.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FC209C">
        <w:rPr>
          <w:rStyle w:val="a4"/>
          <w:sz w:val="28"/>
          <w:szCs w:val="28"/>
          <w:lang w:val="en-US"/>
        </w:rPr>
        <w:lastRenderedPageBreak/>
        <w:t>Keywords:</w:t>
      </w:r>
      <w:r w:rsidRPr="00FC209C">
        <w:rPr>
          <w:sz w:val="28"/>
          <w:szCs w:val="28"/>
          <w:lang w:val="en-US"/>
        </w:rPr>
        <w:t xml:space="preserve"> digital transformation, total factor productivity, panel data, manufacturing, Russia, firm performance.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b/>
          <w:sz w:val="28"/>
          <w:szCs w:val="28"/>
        </w:rPr>
        <w:t>Введение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 xml:space="preserve">Распространение цифровых технологий — облачных вычислений, промышленного интернета вещей, искусственного интеллекта и продвинутой аналитики — в производственных операциях широко рассматривается как новый источник роста производительности [1, с. 14]. Вместе с тем данные об эффектах </w:t>
      </w:r>
      <w:proofErr w:type="gramStart"/>
      <w:r w:rsidRPr="00FC209C">
        <w:rPr>
          <w:sz w:val="28"/>
          <w:szCs w:val="28"/>
        </w:rPr>
        <w:t>ИКТ-инвестиций</w:t>
      </w:r>
      <w:proofErr w:type="gramEnd"/>
      <w:r w:rsidRPr="00FC209C">
        <w:rPr>
          <w:sz w:val="28"/>
          <w:szCs w:val="28"/>
        </w:rPr>
        <w:t xml:space="preserve"> на производительность на макроуровне остаются противоречивыми, возрождая дискуссию о «парадоксе производительности» в новом технологическом контексте [2, с. 89]. На уровне фирмы цифровая трансформация охватывает как технологическое внедрение, так и организационную реконфигурацию, что делает её влияние на результативность теоретически неоднозначным [3, с. 220]. Эмпирические данные по транзитным экономикам особенно скудны [4, с. 56]. Обрабатывающий сектор России представляет ценный контекст: с 2018 года в рамках национальных программных инициатив в нём осуществляются значительные инвестиции в цифровизацию при выраженной неоднородности предприятий по размеру, технологическому уровню и отраслевому составу [5, с. 33]. Настоящая статья восполняет данный пробел, предоставляя причинно-следственные оценки эффектов цифровых инвестиций на результативность фирм с применением панельных данных и метода инструментальных переменных.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b/>
          <w:sz w:val="28"/>
          <w:szCs w:val="28"/>
        </w:rPr>
        <w:t>Материалы и методы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 xml:space="preserve">Эмпирический анализ основан на сбалансированной панели из 487 российских предприятий обрабатывающей промышленности, наблюдавшихся ежегодно в 2018–2024 гг. (T = 7; N = 487; 3 409 наблюдений «фирма-год»). Данные получены из финансовой базы СПАРК-Интерфакс, дополненной материалами обследования Росстата об использовании ИКТ. Основная независимая переменная — коэффициент цифровых инвестиций (КЦИ) — </w:t>
      </w:r>
      <w:r w:rsidRPr="00FC209C">
        <w:rPr>
          <w:sz w:val="28"/>
          <w:szCs w:val="28"/>
        </w:rPr>
        <w:lastRenderedPageBreak/>
        <w:t>представляет собой долю капитальных затрат на программное обеспечение, аппаратные средства и цифровую инфраструктуру. Зависимые переменные: СФП (</w:t>
      </w:r>
      <w:proofErr w:type="gramStart"/>
      <w:r w:rsidRPr="00FC209C">
        <w:rPr>
          <w:sz w:val="28"/>
          <w:szCs w:val="28"/>
        </w:rPr>
        <w:t>оценена</w:t>
      </w:r>
      <w:proofErr w:type="gramEnd"/>
      <w:r w:rsidRPr="00FC209C">
        <w:rPr>
          <w:sz w:val="28"/>
          <w:szCs w:val="28"/>
        </w:rPr>
        <w:t xml:space="preserve"> методом Олли-Пакса), ROA и темп роста выручки. Оценивание выполнено методом фиксированных эффектов с кластерно-робастными стандартными ошибками на уровне фирмы. Для устранения эндогенности использовались два инструмента: региональный уровень проникновения широкополосного интернета (с лагом) и среднеотраслевой КЦИ без учёта фокусной фирмы. Релевантность и состоятельность инструментов подтверждены F-статистиками (&gt; 20) и тестом Сарган-Хансена [6, с. 178]. Анализ гетерогенности проводился по размеру фирмы и технологической интенсивности подотрасли (классификация ОЭСР) [7, с. 44].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b/>
          <w:sz w:val="28"/>
          <w:szCs w:val="28"/>
        </w:rPr>
        <w:t>Результаты и обсуждения</w:t>
      </w:r>
    </w:p>
    <w:p w:rsid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>Базовые оценки IV-FE показывают, что увеличение КЦИ на единицу ассоциировано с ростом СФП на 4,2% (β = 0,042, SE = 0,011, p &lt; 0,001) и улучшением ROA на 1,8 п.п. (β = 0,018, p &lt; 0,05) с двухлетним лагом, что соответствует задокументированным периодам амортизации затрат на внедрение [3, с. 223]. Влияние на темп роста выручки положительно, но лишь незначимо (β = 0,009, p = 0,07)</w:t>
      </w:r>
      <w:r w:rsidR="00FC209C" w:rsidRPr="00FC209C">
        <w:rPr>
          <w:sz w:val="28"/>
          <w:szCs w:val="28"/>
        </w:rPr>
        <w:t xml:space="preserve"> (рис 1.)</w:t>
      </w:r>
      <w:r w:rsidRPr="00FC209C">
        <w:rPr>
          <w:sz w:val="28"/>
          <w:szCs w:val="28"/>
        </w:rPr>
        <w:t xml:space="preserve">. </w:t>
      </w:r>
    </w:p>
    <w:p w:rsidR="00FC209C" w:rsidRDefault="00F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C209C" w:rsidRDefault="00FC209C" w:rsidP="00FC209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42ADE6" wp14:editId="43736A35">
            <wp:extent cx="1836420" cy="716280"/>
            <wp:effectExtent l="19050" t="19050" r="1143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162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C209C" w:rsidRPr="00FC209C" w:rsidRDefault="00FC209C" w:rsidP="00FC209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FC209C">
        <w:rPr>
          <w:b/>
          <w:i/>
          <w:sz w:val="28"/>
          <w:szCs w:val="28"/>
        </w:rPr>
        <w:t>Рисунок 1. Название рисунка 1, демонстрирующее пример</w:t>
      </w:r>
    </w:p>
    <w:p w:rsidR="00FC209C" w:rsidRDefault="00F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C209C">
        <w:rPr>
          <w:sz w:val="28"/>
          <w:szCs w:val="28"/>
        </w:rPr>
        <w:t>Анализ гетерогенности выявил, что крупные фирмы (более 250 сотрудников) получают прирост СФП примерно в 2,4 раза больший, чем МСП, а фирмы в высокотехнологичных подотраслях — в 1,9 раза больший, чем в низкотехнологичных.</w:t>
      </w:r>
      <w:proofErr w:type="gramEnd"/>
      <w:r w:rsidRPr="00FC209C">
        <w:rPr>
          <w:sz w:val="28"/>
          <w:szCs w:val="28"/>
        </w:rPr>
        <w:t xml:space="preserve"> Эти результаты согласуются с концепцией абсорбционной ёмкости [8, с. 128] и свидетельствуют о том, что ключевым </w:t>
      </w:r>
      <w:r w:rsidRPr="00FC209C">
        <w:rPr>
          <w:sz w:val="28"/>
          <w:szCs w:val="28"/>
        </w:rPr>
        <w:lastRenderedPageBreak/>
        <w:t>условием улучшения результативности является наличие необходимых организационных компетенций, а не только объём цифровых инвестиций</w:t>
      </w:r>
      <w:r w:rsidR="00FC209C">
        <w:rPr>
          <w:sz w:val="28"/>
          <w:szCs w:val="28"/>
        </w:rPr>
        <w:t xml:space="preserve"> (табл. 1)</w:t>
      </w:r>
      <w:r w:rsidRPr="00FC209C">
        <w:rPr>
          <w:sz w:val="28"/>
          <w:szCs w:val="28"/>
        </w:rPr>
        <w:t>.</w:t>
      </w:r>
    </w:p>
    <w:p w:rsidR="00FC209C" w:rsidRPr="00FC209C" w:rsidRDefault="00F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C209C" w:rsidRDefault="00FC209C" w:rsidP="00FC209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Таблица</w:t>
      </w:r>
      <w:r w:rsidRPr="00FC209C">
        <w:rPr>
          <w:b/>
          <w:i/>
          <w:sz w:val="28"/>
          <w:szCs w:val="28"/>
        </w:rPr>
        <w:t xml:space="preserve"> 1. Название </w:t>
      </w:r>
      <w:r>
        <w:rPr>
          <w:b/>
          <w:i/>
          <w:sz w:val="28"/>
          <w:szCs w:val="28"/>
        </w:rPr>
        <w:t>таблицы</w:t>
      </w:r>
      <w:r w:rsidRPr="00FC209C">
        <w:rPr>
          <w:b/>
          <w:i/>
          <w:sz w:val="28"/>
          <w:szCs w:val="28"/>
        </w:rPr>
        <w:t xml:space="preserve"> 1, демонстрирующее пример</w:t>
      </w:r>
    </w:p>
    <w:p w:rsidR="00FC209C" w:rsidRPr="00FC209C" w:rsidRDefault="00FC209C" w:rsidP="00FC209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034"/>
        <w:gridCol w:w="3285"/>
        <w:gridCol w:w="3285"/>
      </w:tblGrid>
      <w:tr w:rsidR="00FC209C" w:rsidTr="00517CED">
        <w:tc>
          <w:tcPr>
            <w:tcW w:w="3034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285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3285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</w:p>
        </w:tc>
      </w:tr>
      <w:tr w:rsidR="00FC209C" w:rsidTr="00517CED">
        <w:tc>
          <w:tcPr>
            <w:tcW w:w="3034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3285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12353</w:t>
            </w:r>
          </w:p>
        </w:tc>
        <w:tc>
          <w:tcPr>
            <w:tcW w:w="3285" w:type="dxa"/>
          </w:tcPr>
          <w:p w:rsidR="00FC209C" w:rsidRDefault="00FC209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123645</w:t>
            </w:r>
          </w:p>
        </w:tc>
      </w:tr>
      <w:bookmarkEnd w:id="0"/>
    </w:tbl>
    <w:p w:rsidR="00FC209C" w:rsidRPr="00FC209C" w:rsidRDefault="00FC209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b/>
          <w:sz w:val="28"/>
          <w:szCs w:val="28"/>
        </w:rPr>
        <w:t>Заключение</w:t>
      </w: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>Цифровая трансформация обеспечивает измеримый и статистически значимый рост производительности и прибыльности российских производственных предприятий, однако эти выгоды реализуются с запаздыванием и сосредоточены преимущественно у крупных и технологически развитых фирм. МСП и предприятия низкотехнологичных подотраслей рискуют не получить ожидаемой отдачи, что указывает на необходимость дифференцированных мер государственной поддержки. Результаты подчёркивают важность комплементарных инвестиций в человеческий капитал и организационную реструктуризацию. Дальнейшие исследования должны быть направлены на изучение роли конкретных типов цифровых технологий (ИИ, IoT, ERP) и сопоставительный анализ данных других транзитных экономик.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09C">
        <w:rPr>
          <w:rStyle w:val="a4"/>
          <w:sz w:val="28"/>
          <w:szCs w:val="28"/>
        </w:rPr>
        <w:t>Список литературы: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>Белова, Т. Н. Ситуация на молочном «фронте» в период санкций / Т. Н. Белова // Экономист. – 2015. – № 4. – С. 84-91.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C209C">
        <w:rPr>
          <w:sz w:val="28"/>
          <w:szCs w:val="28"/>
        </w:rPr>
        <w:t>Глазьев, С. Ю. Перспективы развития экономики России в условиях глобальных технологических сдвигов / С. Ю. Глазьев // Вопросы экономики. – 2024. – № 2. – С. 18-35.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after="0" w:afterAutospacing="0" w:line="360" w:lineRule="auto"/>
        <w:ind w:left="357" w:firstLine="567"/>
        <w:jc w:val="both"/>
        <w:rPr>
          <w:sz w:val="28"/>
          <w:szCs w:val="28"/>
        </w:rPr>
      </w:pPr>
      <w:proofErr w:type="spellStart"/>
      <w:r w:rsidRPr="00FC209C">
        <w:rPr>
          <w:sz w:val="28"/>
          <w:szCs w:val="28"/>
        </w:rPr>
        <w:lastRenderedPageBreak/>
        <w:t>Клейнер</w:t>
      </w:r>
      <w:proofErr w:type="spellEnd"/>
      <w:r w:rsidRPr="00FC209C">
        <w:rPr>
          <w:sz w:val="28"/>
          <w:szCs w:val="28"/>
        </w:rPr>
        <w:t xml:space="preserve">, Г. Б. Экономика экосистем: шаг в будущее / Г. Б. </w:t>
      </w:r>
      <w:proofErr w:type="spellStart"/>
      <w:r w:rsidRPr="00FC209C">
        <w:rPr>
          <w:sz w:val="28"/>
          <w:szCs w:val="28"/>
        </w:rPr>
        <w:t>Клейнер</w:t>
      </w:r>
      <w:proofErr w:type="spellEnd"/>
      <w:r w:rsidRPr="00FC209C">
        <w:rPr>
          <w:sz w:val="28"/>
          <w:szCs w:val="28"/>
        </w:rPr>
        <w:t xml:space="preserve"> // Управленец. – 2021. – Т. 12, № 1. – С. 40-52.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after="0" w:afterAutospacing="0" w:line="360" w:lineRule="auto"/>
        <w:ind w:left="357" w:firstLine="567"/>
        <w:jc w:val="both"/>
        <w:rPr>
          <w:sz w:val="28"/>
          <w:szCs w:val="28"/>
        </w:rPr>
      </w:pPr>
      <w:r w:rsidRPr="00FC209C">
        <w:rPr>
          <w:sz w:val="28"/>
          <w:szCs w:val="28"/>
        </w:rPr>
        <w:t xml:space="preserve">Сидоров, В. А. Стратегическое управление промышленным сектором в условиях </w:t>
      </w:r>
      <w:proofErr w:type="spellStart"/>
      <w:r w:rsidRPr="00FC209C">
        <w:rPr>
          <w:sz w:val="28"/>
          <w:szCs w:val="28"/>
        </w:rPr>
        <w:t>импортозамещения</w:t>
      </w:r>
      <w:proofErr w:type="spellEnd"/>
      <w:proofErr w:type="gramStart"/>
      <w:r w:rsidRPr="00FC209C">
        <w:rPr>
          <w:sz w:val="28"/>
          <w:szCs w:val="28"/>
        </w:rPr>
        <w:t xml:space="preserve"> :</w:t>
      </w:r>
      <w:proofErr w:type="gramEnd"/>
      <w:r w:rsidRPr="00FC209C">
        <w:rPr>
          <w:sz w:val="28"/>
          <w:szCs w:val="28"/>
        </w:rPr>
        <w:t xml:space="preserve"> монография / В. А. Сидоров. – Москва</w:t>
      </w:r>
      <w:proofErr w:type="gramStart"/>
      <w:r w:rsidRPr="00FC209C">
        <w:rPr>
          <w:sz w:val="28"/>
          <w:szCs w:val="28"/>
        </w:rPr>
        <w:t xml:space="preserve"> :</w:t>
      </w:r>
      <w:proofErr w:type="gramEnd"/>
      <w:r w:rsidRPr="00FC209C">
        <w:rPr>
          <w:sz w:val="28"/>
          <w:szCs w:val="28"/>
        </w:rPr>
        <w:t xml:space="preserve"> Экономика, 2023. – 215 с.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FC209C">
        <w:rPr>
          <w:sz w:val="28"/>
          <w:szCs w:val="28"/>
        </w:rPr>
        <w:t>Федеральная служба государственной статистики. Динамика индекса промышленного производства по отраслям [Электронный ресурс] – Режим доступа: https://rosstat.gov.ru/enterprise_industrial (дата обращения 27.05.2026)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after="0" w:afterAutospacing="0"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Schwab, K. The Fourth Industrial Revolution / K. Schwab // World Economic Forum. – 2016. – Vol. 15, No. 2. – P. 12-25.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after="0" w:afterAutospacing="0"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Porter, M. E. Competition in global industries: A conceptual framework / M. E. Porter // Journal of International Business Studies. – 2020. – Vol. 51, No. 4. – P. 315-332.</w:t>
      </w:r>
    </w:p>
    <w:p w:rsidR="00C107F1" w:rsidRPr="00FC209C" w:rsidRDefault="00C107F1" w:rsidP="00C107F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World Bank. Global Economic Prospects: Divergences and Vulnerabilities [Electronic resource] – URL: https://www.worldbank.org/en/publication/global-economic-prospects (accessed 27.05.2026)</w:t>
      </w:r>
    </w:p>
    <w:p w:rsidR="009B034D" w:rsidRPr="00FC209C" w:rsidRDefault="009B03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9B034D" w:rsidRPr="00FC209C" w:rsidRDefault="009F47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C209C">
        <w:rPr>
          <w:b/>
          <w:sz w:val="28"/>
          <w:szCs w:val="28"/>
        </w:rPr>
        <w:t>References</w:t>
      </w:r>
      <w:proofErr w:type="spellEnd"/>
      <w:r w:rsidRPr="00FC209C">
        <w:rPr>
          <w:b/>
          <w:sz w:val="28"/>
          <w:szCs w:val="28"/>
        </w:rPr>
        <w:t>: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FC209C">
        <w:rPr>
          <w:sz w:val="28"/>
          <w:szCs w:val="28"/>
          <w:lang w:val="en-US"/>
        </w:rPr>
        <w:t>Belova</w:t>
      </w:r>
      <w:proofErr w:type="spellEnd"/>
      <w:r w:rsidRPr="00FC209C">
        <w:rPr>
          <w:sz w:val="28"/>
          <w:szCs w:val="28"/>
          <w:lang w:val="en-US"/>
        </w:rPr>
        <w:t xml:space="preserve"> T.N. [The situation on the dairy "front" during the sanctions period] // </w:t>
      </w:r>
      <w:proofErr w:type="spellStart"/>
      <w:r w:rsidRPr="00FC209C">
        <w:rPr>
          <w:sz w:val="28"/>
          <w:szCs w:val="28"/>
          <w:lang w:val="en-US"/>
        </w:rPr>
        <w:t>Ekonomist</w:t>
      </w:r>
      <w:proofErr w:type="spellEnd"/>
      <w:r w:rsidRPr="00FC209C">
        <w:rPr>
          <w:sz w:val="28"/>
          <w:szCs w:val="28"/>
          <w:lang w:val="en-US"/>
        </w:rPr>
        <w:t>. 2015. No. 4. pp. 84-91. (In Russ.)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FC209C">
        <w:rPr>
          <w:sz w:val="28"/>
          <w:szCs w:val="28"/>
          <w:lang w:val="en-US"/>
        </w:rPr>
        <w:t>Glazev</w:t>
      </w:r>
      <w:proofErr w:type="spellEnd"/>
      <w:r w:rsidRPr="00FC209C">
        <w:rPr>
          <w:sz w:val="28"/>
          <w:szCs w:val="28"/>
          <w:lang w:val="en-US"/>
        </w:rPr>
        <w:t xml:space="preserve"> </w:t>
      </w:r>
      <w:proofErr w:type="spellStart"/>
      <w:r w:rsidRPr="00FC209C">
        <w:rPr>
          <w:sz w:val="28"/>
          <w:szCs w:val="28"/>
          <w:lang w:val="en-US"/>
        </w:rPr>
        <w:t>S.Yu</w:t>
      </w:r>
      <w:proofErr w:type="spellEnd"/>
      <w:r w:rsidRPr="00FC209C">
        <w:rPr>
          <w:sz w:val="28"/>
          <w:szCs w:val="28"/>
          <w:lang w:val="en-US"/>
        </w:rPr>
        <w:t xml:space="preserve">. [Prospects for the development of the Russian economy in the context of global technological shifts] // </w:t>
      </w:r>
      <w:proofErr w:type="spellStart"/>
      <w:r w:rsidRPr="00FC209C">
        <w:rPr>
          <w:sz w:val="28"/>
          <w:szCs w:val="28"/>
          <w:lang w:val="en-US"/>
        </w:rPr>
        <w:t>Voprosy</w:t>
      </w:r>
      <w:proofErr w:type="spellEnd"/>
      <w:r w:rsidRPr="00FC209C">
        <w:rPr>
          <w:sz w:val="28"/>
          <w:szCs w:val="28"/>
          <w:lang w:val="en-US"/>
        </w:rPr>
        <w:t xml:space="preserve"> </w:t>
      </w:r>
      <w:proofErr w:type="spellStart"/>
      <w:r w:rsidRPr="00FC209C">
        <w:rPr>
          <w:sz w:val="28"/>
          <w:szCs w:val="28"/>
          <w:lang w:val="en-US"/>
        </w:rPr>
        <w:t>ekonomiki</w:t>
      </w:r>
      <w:proofErr w:type="spellEnd"/>
      <w:r w:rsidRPr="00FC209C">
        <w:rPr>
          <w:sz w:val="28"/>
          <w:szCs w:val="28"/>
          <w:lang w:val="en-US"/>
        </w:rPr>
        <w:t>. 2024. No. 2. pp. 18-35. (In Russ.)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FC209C">
        <w:rPr>
          <w:sz w:val="28"/>
          <w:szCs w:val="28"/>
          <w:lang w:val="en-US"/>
        </w:rPr>
        <w:t>Kleyner</w:t>
      </w:r>
      <w:proofErr w:type="spellEnd"/>
      <w:r w:rsidRPr="00FC209C">
        <w:rPr>
          <w:sz w:val="28"/>
          <w:szCs w:val="28"/>
          <w:lang w:val="en-US"/>
        </w:rPr>
        <w:t xml:space="preserve"> G.B. [Ecosystem economics: a step into the future] // </w:t>
      </w:r>
      <w:proofErr w:type="spellStart"/>
      <w:r w:rsidRPr="00FC209C">
        <w:rPr>
          <w:sz w:val="28"/>
          <w:szCs w:val="28"/>
          <w:lang w:val="en-US"/>
        </w:rPr>
        <w:t>Upravlenets</w:t>
      </w:r>
      <w:proofErr w:type="spellEnd"/>
      <w:r w:rsidRPr="00FC209C">
        <w:rPr>
          <w:sz w:val="28"/>
          <w:szCs w:val="28"/>
          <w:lang w:val="en-US"/>
        </w:rPr>
        <w:t>. 2021. Vol. 12. No. 1. pp. 40-52. (In Russ.)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FC209C">
        <w:rPr>
          <w:sz w:val="28"/>
          <w:szCs w:val="28"/>
          <w:lang w:val="en-US"/>
        </w:rPr>
        <w:lastRenderedPageBreak/>
        <w:t>Sidorov</w:t>
      </w:r>
      <w:proofErr w:type="spellEnd"/>
      <w:r w:rsidRPr="00FC209C">
        <w:rPr>
          <w:sz w:val="28"/>
          <w:szCs w:val="28"/>
          <w:lang w:val="en-US"/>
        </w:rPr>
        <w:t xml:space="preserve"> V.A. [Strategic management of the industrial sector in the context of import substitution: a monograph]. Moscow: </w:t>
      </w:r>
      <w:proofErr w:type="spellStart"/>
      <w:r w:rsidRPr="00FC209C">
        <w:rPr>
          <w:sz w:val="28"/>
          <w:szCs w:val="28"/>
          <w:lang w:val="en-US"/>
        </w:rPr>
        <w:t>Ekonomika</w:t>
      </w:r>
      <w:proofErr w:type="spellEnd"/>
      <w:r w:rsidRPr="00FC209C">
        <w:rPr>
          <w:sz w:val="28"/>
          <w:szCs w:val="28"/>
          <w:lang w:val="en-US"/>
        </w:rPr>
        <w:t>, 2023. 215 p. (In Russ.)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proofErr w:type="spellStart"/>
      <w:r w:rsidRPr="00FC209C">
        <w:rPr>
          <w:sz w:val="28"/>
          <w:szCs w:val="28"/>
          <w:lang w:val="en-US"/>
        </w:rPr>
        <w:t>Federalnaya</w:t>
      </w:r>
      <w:proofErr w:type="spellEnd"/>
      <w:r w:rsidRPr="00FC209C">
        <w:rPr>
          <w:sz w:val="28"/>
          <w:szCs w:val="28"/>
          <w:lang w:val="en-US"/>
        </w:rPr>
        <w:t xml:space="preserve"> </w:t>
      </w:r>
      <w:proofErr w:type="spellStart"/>
      <w:r w:rsidRPr="00FC209C">
        <w:rPr>
          <w:sz w:val="28"/>
          <w:szCs w:val="28"/>
          <w:lang w:val="en-US"/>
        </w:rPr>
        <w:t>sluzhba</w:t>
      </w:r>
      <w:proofErr w:type="spellEnd"/>
      <w:r w:rsidRPr="00FC209C">
        <w:rPr>
          <w:sz w:val="28"/>
          <w:szCs w:val="28"/>
          <w:lang w:val="en-US"/>
        </w:rPr>
        <w:t xml:space="preserve"> </w:t>
      </w:r>
      <w:proofErr w:type="spellStart"/>
      <w:r w:rsidRPr="00FC209C">
        <w:rPr>
          <w:sz w:val="28"/>
          <w:szCs w:val="28"/>
          <w:lang w:val="en-US"/>
        </w:rPr>
        <w:t>gosudarstvennoy</w:t>
      </w:r>
      <w:proofErr w:type="spellEnd"/>
      <w:r w:rsidRPr="00FC209C">
        <w:rPr>
          <w:sz w:val="28"/>
          <w:szCs w:val="28"/>
          <w:lang w:val="en-US"/>
        </w:rPr>
        <w:t xml:space="preserve"> </w:t>
      </w:r>
      <w:proofErr w:type="spellStart"/>
      <w:r w:rsidRPr="00FC209C">
        <w:rPr>
          <w:sz w:val="28"/>
          <w:szCs w:val="28"/>
          <w:lang w:val="en-US"/>
        </w:rPr>
        <w:t>statistiki</w:t>
      </w:r>
      <w:proofErr w:type="spellEnd"/>
      <w:r w:rsidRPr="00FC209C">
        <w:rPr>
          <w:sz w:val="28"/>
          <w:szCs w:val="28"/>
          <w:lang w:val="en-US"/>
        </w:rPr>
        <w:t>. [Dynamics of the industrial production index by industry] [Electronic resource] – URL: https://rosstat.gov.ru/enterprise_industrial (accessed 27.05.2026). (In Russ.)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Schwab K. The Fourth Industrial Revolution // World Economic Forum. 2016. Vol. 15. No. 2. P. 12-25.</w:t>
      </w:r>
    </w:p>
    <w:p w:rsidR="00C107F1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>Porter M.E. Competition in global industries: A conceptual framework // Journal of International Business Studies. 2020. Vol. 51. No. 4. P. 315-332.</w:t>
      </w:r>
    </w:p>
    <w:p w:rsidR="009B034D" w:rsidRPr="00FC209C" w:rsidRDefault="00C107F1" w:rsidP="00C107F1">
      <w:pPr>
        <w:pStyle w:val="a3"/>
        <w:numPr>
          <w:ilvl w:val="0"/>
          <w:numId w:val="2"/>
        </w:numPr>
        <w:spacing w:line="360" w:lineRule="auto"/>
        <w:ind w:left="357" w:firstLine="567"/>
        <w:jc w:val="both"/>
        <w:rPr>
          <w:sz w:val="28"/>
          <w:szCs w:val="28"/>
          <w:lang w:val="en-US"/>
        </w:rPr>
      </w:pPr>
      <w:r w:rsidRPr="00FC209C">
        <w:rPr>
          <w:sz w:val="28"/>
          <w:szCs w:val="28"/>
          <w:lang w:val="en-US"/>
        </w:rPr>
        <w:t xml:space="preserve">World Bank. Global Economic Prospects: Divergences and Vulnerabilities [Electronic resource] – URL: https://www.worldbank.org/en/publication/global-economic-prospects (accessed 27.05.2026) </w:t>
      </w:r>
    </w:p>
    <w:sectPr w:rsidR="009B034D" w:rsidRPr="00FC20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97" w:rsidRDefault="00F02B97" w:rsidP="0072153F">
      <w:pPr>
        <w:spacing w:after="0" w:line="240" w:lineRule="auto"/>
      </w:pPr>
      <w:r>
        <w:separator/>
      </w:r>
    </w:p>
  </w:endnote>
  <w:endnote w:type="continuationSeparator" w:id="0">
    <w:p w:rsidR="00F02B97" w:rsidRDefault="00F02B97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97" w:rsidRDefault="00F02B97" w:rsidP="0072153F">
      <w:pPr>
        <w:spacing w:after="0" w:line="240" w:lineRule="auto"/>
      </w:pPr>
      <w:r>
        <w:separator/>
      </w:r>
    </w:p>
  </w:footnote>
  <w:footnote w:type="continuationSeparator" w:id="0">
    <w:p w:rsidR="00F02B97" w:rsidRDefault="00F02B97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0D1F14"/>
    <w:rsid w:val="00101737"/>
    <w:rsid w:val="00151215"/>
    <w:rsid w:val="00165C7C"/>
    <w:rsid w:val="0017264F"/>
    <w:rsid w:val="002201D7"/>
    <w:rsid w:val="00256BD5"/>
    <w:rsid w:val="00283DE2"/>
    <w:rsid w:val="00287C4F"/>
    <w:rsid w:val="002D6583"/>
    <w:rsid w:val="00312244"/>
    <w:rsid w:val="0031732A"/>
    <w:rsid w:val="00322C3E"/>
    <w:rsid w:val="00347203"/>
    <w:rsid w:val="003870B7"/>
    <w:rsid w:val="003B198C"/>
    <w:rsid w:val="003B3FD9"/>
    <w:rsid w:val="0040155E"/>
    <w:rsid w:val="004061CC"/>
    <w:rsid w:val="0044671F"/>
    <w:rsid w:val="004470FA"/>
    <w:rsid w:val="00485F53"/>
    <w:rsid w:val="00495577"/>
    <w:rsid w:val="004E11F9"/>
    <w:rsid w:val="004F16AD"/>
    <w:rsid w:val="00517CED"/>
    <w:rsid w:val="00534ACC"/>
    <w:rsid w:val="005414AB"/>
    <w:rsid w:val="00550EF4"/>
    <w:rsid w:val="00554175"/>
    <w:rsid w:val="005574EF"/>
    <w:rsid w:val="00572407"/>
    <w:rsid w:val="005A0FCF"/>
    <w:rsid w:val="005A55AD"/>
    <w:rsid w:val="005C4D1A"/>
    <w:rsid w:val="005F2660"/>
    <w:rsid w:val="0061188D"/>
    <w:rsid w:val="006340C2"/>
    <w:rsid w:val="00646555"/>
    <w:rsid w:val="00650DFC"/>
    <w:rsid w:val="0066380F"/>
    <w:rsid w:val="00667C08"/>
    <w:rsid w:val="00674D11"/>
    <w:rsid w:val="0068543B"/>
    <w:rsid w:val="0072153F"/>
    <w:rsid w:val="00735ADA"/>
    <w:rsid w:val="00763E53"/>
    <w:rsid w:val="00780309"/>
    <w:rsid w:val="00784978"/>
    <w:rsid w:val="007879BA"/>
    <w:rsid w:val="00790D62"/>
    <w:rsid w:val="007E0BFE"/>
    <w:rsid w:val="007F0AEB"/>
    <w:rsid w:val="007F3E1D"/>
    <w:rsid w:val="007F4577"/>
    <w:rsid w:val="00811D5A"/>
    <w:rsid w:val="008202D6"/>
    <w:rsid w:val="0083785C"/>
    <w:rsid w:val="0085057A"/>
    <w:rsid w:val="00850A2E"/>
    <w:rsid w:val="0085290D"/>
    <w:rsid w:val="00874E99"/>
    <w:rsid w:val="008946B6"/>
    <w:rsid w:val="008D1FC2"/>
    <w:rsid w:val="008D64B4"/>
    <w:rsid w:val="008F2641"/>
    <w:rsid w:val="00922A1B"/>
    <w:rsid w:val="00966FE2"/>
    <w:rsid w:val="009B034D"/>
    <w:rsid w:val="009F1C09"/>
    <w:rsid w:val="009F478C"/>
    <w:rsid w:val="00A06D28"/>
    <w:rsid w:val="00A449B9"/>
    <w:rsid w:val="00AC2E61"/>
    <w:rsid w:val="00AC7B12"/>
    <w:rsid w:val="00AF324E"/>
    <w:rsid w:val="00B25146"/>
    <w:rsid w:val="00B427C9"/>
    <w:rsid w:val="00B44A8C"/>
    <w:rsid w:val="00B4540A"/>
    <w:rsid w:val="00B4704B"/>
    <w:rsid w:val="00B57E92"/>
    <w:rsid w:val="00B61EC1"/>
    <w:rsid w:val="00B7435A"/>
    <w:rsid w:val="00B96E3F"/>
    <w:rsid w:val="00B9755D"/>
    <w:rsid w:val="00C107F1"/>
    <w:rsid w:val="00C15ED2"/>
    <w:rsid w:val="00C20EFF"/>
    <w:rsid w:val="00C258FC"/>
    <w:rsid w:val="00C40501"/>
    <w:rsid w:val="00C62C75"/>
    <w:rsid w:val="00C82BE0"/>
    <w:rsid w:val="00CF3AB2"/>
    <w:rsid w:val="00D20F27"/>
    <w:rsid w:val="00D26552"/>
    <w:rsid w:val="00D82DF8"/>
    <w:rsid w:val="00D86826"/>
    <w:rsid w:val="00D9395C"/>
    <w:rsid w:val="00D96060"/>
    <w:rsid w:val="00DA16FA"/>
    <w:rsid w:val="00DA6CC2"/>
    <w:rsid w:val="00DE74A0"/>
    <w:rsid w:val="00E111A1"/>
    <w:rsid w:val="00E24DE3"/>
    <w:rsid w:val="00E33732"/>
    <w:rsid w:val="00E3588A"/>
    <w:rsid w:val="00E5783E"/>
    <w:rsid w:val="00E57855"/>
    <w:rsid w:val="00E60A0E"/>
    <w:rsid w:val="00E617E5"/>
    <w:rsid w:val="00E672B9"/>
    <w:rsid w:val="00EA5B65"/>
    <w:rsid w:val="00EB32C2"/>
    <w:rsid w:val="00EB48AF"/>
    <w:rsid w:val="00EE08BE"/>
    <w:rsid w:val="00EE624A"/>
    <w:rsid w:val="00F02B97"/>
    <w:rsid w:val="00F20382"/>
    <w:rsid w:val="00F44D0D"/>
    <w:rsid w:val="00F54D2D"/>
    <w:rsid w:val="00F86B5A"/>
    <w:rsid w:val="00FA1D3E"/>
    <w:rsid w:val="00FC209C"/>
    <w:rsid w:val="00FC3B43"/>
    <w:rsid w:val="00FC401F"/>
    <w:rsid w:val="00FD1D0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7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44</cp:revision>
  <dcterms:created xsi:type="dcterms:W3CDTF">2026-05-07T12:16:00Z</dcterms:created>
  <dcterms:modified xsi:type="dcterms:W3CDTF">2026-05-27T14:19:00Z</dcterms:modified>
</cp:coreProperties>
</file>