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82" w:rsidRPr="009204AB" w:rsidRDefault="00CE005A">
      <w:pPr>
        <w:spacing w:after="0" w:line="360" w:lineRule="auto"/>
        <w:ind w:firstLine="567"/>
        <w:jc w:val="right"/>
        <w:rPr>
          <w:lang w:val="en-US"/>
        </w:rPr>
      </w:pPr>
      <w:r>
        <w:rPr>
          <w:rFonts w:ascii="Times New Roman" w:hAnsi="Times New Roman" w:cs="Times New Roman"/>
          <w:b/>
          <w:bCs/>
          <w:sz w:val="24"/>
          <w:szCs w:val="24"/>
          <w:lang w:val="en-US"/>
        </w:rPr>
        <w:t xml:space="preserve">Received: </w:t>
      </w:r>
      <w:r>
        <w:rPr>
          <w:rFonts w:ascii="Times New Roman" w:hAnsi="Times New Roman" w:cs="Times New Roman"/>
          <w:b/>
          <w:bCs/>
          <w:color w:val="FF0000"/>
          <w:sz w:val="24"/>
          <w:szCs w:val="24"/>
          <w:lang w:val="en-US"/>
        </w:rPr>
        <w:t>12.02.2026</w:t>
      </w:r>
    </w:p>
    <w:p w:rsidR="008B2482" w:rsidRPr="009204AB" w:rsidRDefault="00CE005A">
      <w:pPr>
        <w:spacing w:after="0" w:line="360" w:lineRule="auto"/>
        <w:ind w:firstLine="567"/>
        <w:jc w:val="right"/>
        <w:rPr>
          <w:lang w:val="en-US"/>
        </w:rPr>
      </w:pPr>
      <w:r>
        <w:rPr>
          <w:rFonts w:ascii="Times New Roman" w:hAnsi="Times New Roman" w:cs="Times New Roman"/>
          <w:b/>
          <w:bCs/>
          <w:sz w:val="24"/>
          <w:szCs w:val="24"/>
          <w:lang w:val="en-US"/>
        </w:rPr>
        <w:t xml:space="preserve">Accepted: </w:t>
      </w:r>
      <w:r>
        <w:rPr>
          <w:rFonts w:ascii="Times New Roman" w:hAnsi="Times New Roman" w:cs="Times New Roman"/>
          <w:b/>
          <w:bCs/>
          <w:color w:val="FF0000"/>
          <w:sz w:val="24"/>
          <w:szCs w:val="24"/>
          <w:lang w:val="en-US"/>
        </w:rPr>
        <w:t>28.02.2026</w:t>
      </w:r>
    </w:p>
    <w:p w:rsidR="008B2482" w:rsidRPr="009204AB" w:rsidRDefault="00CE005A">
      <w:pPr>
        <w:spacing w:after="0" w:line="360" w:lineRule="auto"/>
        <w:ind w:firstLine="567"/>
        <w:jc w:val="right"/>
        <w:rPr>
          <w:lang w:val="en-US"/>
        </w:rPr>
      </w:pPr>
      <w:r>
        <w:rPr>
          <w:rFonts w:ascii="Times New Roman" w:hAnsi="Times New Roman" w:cs="Times New Roman"/>
          <w:b/>
          <w:bCs/>
          <w:sz w:val="24"/>
          <w:szCs w:val="24"/>
          <w:lang w:val="en-US"/>
        </w:rPr>
        <w:t xml:space="preserve">Published: </w:t>
      </w:r>
      <w:r>
        <w:rPr>
          <w:rFonts w:ascii="Times New Roman" w:hAnsi="Times New Roman" w:cs="Times New Roman"/>
          <w:b/>
          <w:bCs/>
          <w:color w:val="FF0000"/>
          <w:sz w:val="24"/>
          <w:szCs w:val="24"/>
          <w:lang w:val="en-US"/>
        </w:rPr>
        <w:t>11.05.2026</w:t>
      </w:r>
    </w:p>
    <w:p w:rsidR="008B2482" w:rsidRPr="009204AB" w:rsidRDefault="008B2482">
      <w:pPr>
        <w:pStyle w:val="a3"/>
        <w:spacing w:before="0" w:beforeAutospacing="0" w:after="0" w:afterAutospacing="0" w:line="360" w:lineRule="auto"/>
        <w:ind w:firstLine="567"/>
        <w:jc w:val="right"/>
        <w:rPr>
          <w:lang w:val="en-US"/>
        </w:rPr>
      </w:pPr>
    </w:p>
    <w:p w:rsidR="008B2482" w:rsidRPr="009204AB" w:rsidRDefault="00CE005A">
      <w:pPr>
        <w:pStyle w:val="a3"/>
        <w:spacing w:before="0" w:beforeAutospacing="0" w:after="0" w:afterAutospacing="0" w:line="360" w:lineRule="auto"/>
        <w:ind w:firstLine="567"/>
        <w:rPr>
          <w:lang w:val="en-US"/>
        </w:rPr>
      </w:pPr>
      <w:r>
        <w:rPr>
          <w:rStyle w:val="a4"/>
          <w:sz w:val="28"/>
          <w:szCs w:val="28"/>
        </w:rPr>
        <w:t>УДК</w:t>
      </w:r>
      <w:r>
        <w:rPr>
          <w:rStyle w:val="a4"/>
          <w:sz w:val="28"/>
          <w:szCs w:val="28"/>
          <w:lang w:val="en-US"/>
        </w:rPr>
        <w:t xml:space="preserve"> </w:t>
      </w:r>
      <w:r>
        <w:rPr>
          <w:rStyle w:val="a4"/>
          <w:b w:val="0"/>
          <w:sz w:val="28"/>
          <w:szCs w:val="28"/>
          <w:lang w:val="en-US"/>
        </w:rPr>
        <w:t>330.341.1:338.2</w:t>
      </w:r>
    </w:p>
    <w:p w:rsidR="008B2482" w:rsidRPr="009204AB" w:rsidRDefault="008B2482">
      <w:pPr>
        <w:pStyle w:val="a3"/>
        <w:spacing w:before="0" w:beforeAutospacing="0" w:after="0" w:afterAutospacing="0" w:line="360" w:lineRule="auto"/>
        <w:ind w:firstLine="567"/>
        <w:jc w:val="center"/>
        <w:rPr>
          <w:lang w:val="en-US"/>
        </w:rPr>
      </w:pPr>
    </w:p>
    <w:p w:rsidR="008B2482" w:rsidRPr="009204AB" w:rsidRDefault="00CE005A">
      <w:pPr>
        <w:pStyle w:val="a3"/>
        <w:spacing w:before="0" w:beforeAutospacing="0" w:after="0" w:afterAutospacing="0" w:line="360" w:lineRule="auto"/>
        <w:ind w:firstLine="567"/>
        <w:jc w:val="center"/>
        <w:rPr>
          <w:lang w:val="en-US"/>
        </w:rPr>
      </w:pPr>
      <w:r>
        <w:rPr>
          <w:rStyle w:val="a4"/>
          <w:sz w:val="28"/>
          <w:szCs w:val="28"/>
          <w:lang w:val="en-US"/>
        </w:rPr>
        <w:t>DIGITAL TRANSFORMATION AND FIRM PERFORMANCE IN THE RUSSIAN MANUFACTURING SECTOR: EVIDENCE FROM PANEL DATA</w:t>
      </w:r>
    </w:p>
    <w:p w:rsidR="008B2482" w:rsidRPr="009204AB" w:rsidRDefault="008B2482">
      <w:pPr>
        <w:pStyle w:val="a3"/>
        <w:spacing w:before="0" w:beforeAutospacing="0" w:after="0" w:afterAutospacing="0" w:line="360" w:lineRule="auto"/>
        <w:ind w:firstLine="567"/>
        <w:jc w:val="both"/>
        <w:rPr>
          <w:lang w:val="en-US"/>
        </w:rPr>
      </w:pPr>
    </w:p>
    <w:p w:rsidR="008B2482" w:rsidRPr="009204AB" w:rsidRDefault="00CE005A">
      <w:pPr>
        <w:pStyle w:val="a3"/>
        <w:spacing w:before="0" w:beforeAutospacing="0" w:after="0" w:afterAutospacing="0" w:line="360" w:lineRule="auto"/>
        <w:ind w:firstLine="567"/>
        <w:jc w:val="right"/>
        <w:rPr>
          <w:lang w:val="en-US"/>
        </w:rPr>
      </w:pPr>
      <w:proofErr w:type="spellStart"/>
      <w:r>
        <w:rPr>
          <w:b/>
          <w:i/>
          <w:sz w:val="28"/>
          <w:szCs w:val="28"/>
          <w:lang w:val="en-US"/>
        </w:rPr>
        <w:t>Nikitin</w:t>
      </w:r>
      <w:proofErr w:type="spellEnd"/>
      <w:r>
        <w:rPr>
          <w:b/>
          <w:i/>
          <w:sz w:val="28"/>
          <w:szCs w:val="28"/>
          <w:lang w:val="en-US"/>
        </w:rPr>
        <w:t xml:space="preserve"> Dmitry </w:t>
      </w:r>
      <w:proofErr w:type="spellStart"/>
      <w:r>
        <w:rPr>
          <w:b/>
          <w:i/>
          <w:sz w:val="28"/>
          <w:szCs w:val="28"/>
          <w:lang w:val="en-US"/>
        </w:rPr>
        <w:t>Alexandrovich</w:t>
      </w:r>
      <w:proofErr w:type="spellEnd"/>
    </w:p>
    <w:p w:rsidR="008B2482" w:rsidRPr="009204AB" w:rsidRDefault="00CE005A">
      <w:pPr>
        <w:pStyle w:val="a3"/>
        <w:spacing w:before="0" w:beforeAutospacing="0" w:after="0" w:afterAutospacing="0" w:line="360" w:lineRule="auto"/>
        <w:ind w:firstLine="567"/>
        <w:jc w:val="right"/>
        <w:rPr>
          <w:lang w:val="en-US"/>
        </w:rPr>
      </w:pPr>
      <w:r>
        <w:rPr>
          <w:i/>
          <w:sz w:val="28"/>
          <w:szCs w:val="28"/>
          <w:lang w:val="en-US"/>
        </w:rPr>
        <w:t>Doctor of Economic Sciences, Professor,</w:t>
      </w:r>
    </w:p>
    <w:p w:rsidR="008B2482" w:rsidRPr="009204AB" w:rsidRDefault="00CE005A">
      <w:pPr>
        <w:pStyle w:val="a3"/>
        <w:spacing w:before="0" w:beforeAutospacing="0" w:after="0" w:afterAutospacing="0" w:line="360" w:lineRule="auto"/>
        <w:ind w:firstLine="567"/>
        <w:jc w:val="right"/>
        <w:rPr>
          <w:lang w:val="en-US"/>
        </w:rPr>
      </w:pPr>
      <w:r>
        <w:rPr>
          <w:i/>
          <w:sz w:val="28"/>
          <w:szCs w:val="28"/>
          <w:lang w:val="en-US"/>
        </w:rPr>
        <w:t>Department of Corporate Finance and Governance, National Research University Higher School of Economics,</w:t>
      </w:r>
    </w:p>
    <w:p w:rsidR="008B2482" w:rsidRPr="009204AB" w:rsidRDefault="00CE005A">
      <w:pPr>
        <w:pStyle w:val="a3"/>
        <w:spacing w:before="0" w:beforeAutospacing="0" w:after="0" w:afterAutospacing="0" w:line="360" w:lineRule="auto"/>
        <w:ind w:firstLine="567"/>
        <w:jc w:val="right"/>
        <w:rPr>
          <w:lang w:val="en-US"/>
        </w:rPr>
      </w:pPr>
      <w:r>
        <w:rPr>
          <w:i/>
          <w:sz w:val="28"/>
          <w:szCs w:val="28"/>
          <w:lang w:val="en-US"/>
        </w:rPr>
        <w:t>Moscow, Russia</w:t>
      </w:r>
    </w:p>
    <w:p w:rsidR="008B2482" w:rsidRPr="009204AB" w:rsidRDefault="00CE005A">
      <w:pPr>
        <w:pStyle w:val="a3"/>
        <w:spacing w:before="0" w:beforeAutospacing="0" w:after="0" w:afterAutospacing="0" w:line="360" w:lineRule="auto"/>
        <w:ind w:firstLine="567"/>
        <w:jc w:val="right"/>
        <w:rPr>
          <w:lang w:val="en-US"/>
        </w:rPr>
      </w:pPr>
      <w:r>
        <w:rPr>
          <w:i/>
          <w:sz w:val="28"/>
          <w:szCs w:val="28"/>
          <w:lang w:val="en-US"/>
        </w:rPr>
        <w:t>E</w:t>
      </w:r>
      <w:r w:rsidRPr="009204AB">
        <w:rPr>
          <w:i/>
          <w:sz w:val="28"/>
          <w:szCs w:val="28"/>
          <w:lang w:val="en-US"/>
        </w:rPr>
        <w:t>-</w:t>
      </w:r>
      <w:r>
        <w:rPr>
          <w:i/>
          <w:sz w:val="28"/>
          <w:szCs w:val="28"/>
          <w:lang w:val="en-US"/>
        </w:rPr>
        <w:t>mail: d.nikitin@hse.ru</w:t>
      </w:r>
    </w:p>
    <w:p w:rsidR="008B2482" w:rsidRPr="009204AB" w:rsidRDefault="008B2482">
      <w:pPr>
        <w:pStyle w:val="a3"/>
        <w:spacing w:before="0" w:beforeAutospacing="0" w:after="0" w:afterAutospacing="0" w:line="360" w:lineRule="auto"/>
        <w:ind w:firstLine="567"/>
        <w:jc w:val="both"/>
        <w:rPr>
          <w:lang w:val="en-US"/>
        </w:rPr>
      </w:pPr>
    </w:p>
    <w:p w:rsidR="008B2482" w:rsidRDefault="00CE005A">
      <w:pPr>
        <w:pStyle w:val="a3"/>
        <w:spacing w:before="0" w:beforeAutospacing="0" w:after="0" w:afterAutospacing="0" w:line="360" w:lineRule="auto"/>
        <w:ind w:firstLine="567"/>
        <w:jc w:val="center"/>
      </w:pPr>
      <w:r>
        <w:rPr>
          <w:rStyle w:val="a4"/>
          <w:sz w:val="28"/>
          <w:szCs w:val="28"/>
        </w:rPr>
        <w:t>ЦИФРОВАЯ ТРАНСФОРМАЦИЯ И РЕЗУЛЬТАТИВНОСТЬ ПРЕДПРИЯТИЙ ОБРАБАТЫВАЮЩЕЙ П</w:t>
      </w:r>
      <w:r>
        <w:rPr>
          <w:rStyle w:val="a4"/>
          <w:sz w:val="28"/>
          <w:szCs w:val="28"/>
        </w:rPr>
        <w:t>РОМЫШЛЕННОСТИ РОССИИ: ДАННЫЕ ПАНЕЛЬНОГО АНАЛИЗА</w:t>
      </w:r>
    </w:p>
    <w:p w:rsidR="008B2482" w:rsidRDefault="008B2482">
      <w:pPr>
        <w:pStyle w:val="a3"/>
        <w:spacing w:before="0" w:beforeAutospacing="0" w:after="0" w:afterAutospacing="0" w:line="360" w:lineRule="auto"/>
        <w:ind w:firstLine="567"/>
        <w:jc w:val="center"/>
      </w:pPr>
    </w:p>
    <w:p w:rsidR="008B2482" w:rsidRDefault="00CE005A">
      <w:pPr>
        <w:pStyle w:val="a3"/>
        <w:spacing w:before="0" w:beforeAutospacing="0" w:after="0" w:afterAutospacing="0" w:line="360" w:lineRule="auto"/>
        <w:ind w:firstLine="567"/>
        <w:jc w:val="right"/>
      </w:pPr>
      <w:r>
        <w:rPr>
          <w:b/>
          <w:i/>
          <w:sz w:val="28"/>
          <w:szCs w:val="28"/>
        </w:rPr>
        <w:t>Никитин Дмитрий Александрович</w:t>
      </w:r>
    </w:p>
    <w:p w:rsidR="008B2482" w:rsidRDefault="00CE005A">
      <w:pPr>
        <w:pStyle w:val="a3"/>
        <w:spacing w:before="0" w:beforeAutospacing="0" w:after="0" w:afterAutospacing="0" w:line="360" w:lineRule="auto"/>
        <w:ind w:firstLine="567"/>
        <w:jc w:val="right"/>
      </w:pPr>
      <w:r>
        <w:rPr>
          <w:i/>
          <w:sz w:val="28"/>
          <w:szCs w:val="28"/>
        </w:rPr>
        <w:t>д-р экон. наук, профессор,</w:t>
      </w:r>
    </w:p>
    <w:p w:rsidR="008B2482" w:rsidRDefault="00CE005A">
      <w:pPr>
        <w:pStyle w:val="a3"/>
        <w:spacing w:before="0" w:beforeAutospacing="0" w:after="0" w:afterAutospacing="0" w:line="360" w:lineRule="auto"/>
        <w:ind w:firstLine="567"/>
        <w:jc w:val="right"/>
      </w:pPr>
      <w:r>
        <w:rPr>
          <w:i/>
          <w:sz w:val="28"/>
          <w:szCs w:val="28"/>
        </w:rPr>
        <w:t>департамент корпоративных финансов и управления, НИУ «Высшая школа экономики»,</w:t>
      </w:r>
    </w:p>
    <w:p w:rsidR="008B2482" w:rsidRDefault="00CE005A">
      <w:pPr>
        <w:pStyle w:val="a3"/>
        <w:spacing w:before="0" w:beforeAutospacing="0" w:after="0" w:afterAutospacing="0" w:line="360" w:lineRule="auto"/>
        <w:ind w:firstLine="567"/>
        <w:jc w:val="right"/>
      </w:pPr>
      <w:r>
        <w:rPr>
          <w:i/>
          <w:sz w:val="28"/>
          <w:szCs w:val="28"/>
        </w:rPr>
        <w:t>Москва, Россия</w:t>
      </w:r>
    </w:p>
    <w:p w:rsidR="008B2482" w:rsidRDefault="00CE005A">
      <w:pPr>
        <w:pStyle w:val="a3"/>
        <w:spacing w:before="0" w:beforeAutospacing="0" w:after="0" w:afterAutospacing="0" w:line="360" w:lineRule="auto"/>
        <w:ind w:firstLine="567"/>
        <w:jc w:val="right"/>
      </w:pPr>
      <w:r>
        <w:rPr>
          <w:i/>
          <w:sz w:val="28"/>
          <w:szCs w:val="28"/>
          <w:lang w:val="en-US"/>
        </w:rPr>
        <w:t>E</w:t>
      </w:r>
      <w:r>
        <w:rPr>
          <w:i/>
          <w:sz w:val="28"/>
          <w:szCs w:val="28"/>
        </w:rPr>
        <w:t>-</w:t>
      </w:r>
      <w:r>
        <w:rPr>
          <w:i/>
          <w:sz w:val="28"/>
          <w:szCs w:val="28"/>
          <w:lang w:val="en-US"/>
        </w:rPr>
        <w:t>mail</w:t>
      </w:r>
      <w:r w:rsidRPr="009204AB">
        <w:rPr>
          <w:i/>
          <w:sz w:val="28"/>
          <w:szCs w:val="28"/>
        </w:rPr>
        <w:t xml:space="preserve">: </w:t>
      </w:r>
      <w:r>
        <w:rPr>
          <w:i/>
          <w:sz w:val="28"/>
          <w:szCs w:val="28"/>
          <w:lang w:val="en-US"/>
        </w:rPr>
        <w:t>d</w:t>
      </w:r>
      <w:r w:rsidRPr="009204AB">
        <w:rPr>
          <w:i/>
          <w:sz w:val="28"/>
          <w:szCs w:val="28"/>
        </w:rPr>
        <w:t>.</w:t>
      </w:r>
      <w:proofErr w:type="spellStart"/>
      <w:r>
        <w:rPr>
          <w:i/>
          <w:sz w:val="28"/>
          <w:szCs w:val="28"/>
          <w:lang w:val="en-US"/>
        </w:rPr>
        <w:t>nikitin</w:t>
      </w:r>
      <w:proofErr w:type="spellEnd"/>
      <w:r w:rsidRPr="009204AB">
        <w:rPr>
          <w:i/>
          <w:sz w:val="28"/>
          <w:szCs w:val="28"/>
        </w:rPr>
        <w:t>@</w:t>
      </w:r>
      <w:proofErr w:type="spellStart"/>
      <w:r>
        <w:rPr>
          <w:i/>
          <w:sz w:val="28"/>
          <w:szCs w:val="28"/>
          <w:lang w:val="en-US"/>
        </w:rPr>
        <w:t>hse</w:t>
      </w:r>
      <w:proofErr w:type="spellEnd"/>
      <w:r w:rsidRPr="009204AB">
        <w:rPr>
          <w:i/>
          <w:sz w:val="28"/>
          <w:szCs w:val="28"/>
        </w:rPr>
        <w:t>.</w:t>
      </w:r>
      <w:proofErr w:type="spellStart"/>
      <w:r>
        <w:rPr>
          <w:i/>
          <w:sz w:val="28"/>
          <w:szCs w:val="28"/>
          <w:lang w:val="en-US"/>
        </w:rPr>
        <w:t>ru</w:t>
      </w:r>
      <w:proofErr w:type="spellEnd"/>
    </w:p>
    <w:p w:rsidR="008B2482" w:rsidRDefault="008B2482">
      <w:pPr>
        <w:pStyle w:val="a3"/>
        <w:spacing w:before="0" w:beforeAutospacing="0" w:after="0" w:afterAutospacing="0" w:line="360" w:lineRule="auto"/>
        <w:ind w:firstLine="567"/>
        <w:jc w:val="right"/>
      </w:pPr>
    </w:p>
    <w:p w:rsidR="008B2482" w:rsidRPr="009204AB" w:rsidRDefault="00CE005A">
      <w:pPr>
        <w:pStyle w:val="a3"/>
        <w:spacing w:before="0" w:beforeAutospacing="0" w:after="0" w:afterAutospacing="0" w:line="360" w:lineRule="auto"/>
        <w:ind w:firstLine="567"/>
        <w:rPr>
          <w:lang w:val="en-US"/>
        </w:rPr>
      </w:pPr>
      <w:r>
        <w:rPr>
          <w:rStyle w:val="a4"/>
          <w:sz w:val="28"/>
          <w:szCs w:val="28"/>
          <w:lang w:val="en-US"/>
        </w:rPr>
        <w:t>Abstract</w:t>
      </w:r>
    </w:p>
    <w:p w:rsidR="008B2482" w:rsidRPr="009204AB" w:rsidRDefault="00CE005A">
      <w:pPr>
        <w:pStyle w:val="a3"/>
        <w:spacing w:before="0" w:beforeAutospacing="0" w:after="0" w:afterAutospacing="0" w:line="360" w:lineRule="auto"/>
        <w:ind w:firstLine="567"/>
        <w:jc w:val="both"/>
        <w:rPr>
          <w:lang w:val="en-US"/>
        </w:rPr>
      </w:pPr>
      <w:r>
        <w:rPr>
          <w:sz w:val="28"/>
          <w:szCs w:val="28"/>
          <w:lang w:val="en-US"/>
        </w:rPr>
        <w:t xml:space="preserve">Digital transformation has become a central strategic imperative for industrial firms, yet its relationship with firm-level performance remains empirically contested. Using a balanced panel of 487 Russian manufacturing firms over 2018–2024, we </w:t>
      </w:r>
      <w:r>
        <w:rPr>
          <w:sz w:val="28"/>
          <w:szCs w:val="28"/>
          <w:lang w:val="en-US"/>
        </w:rPr>
        <w:lastRenderedPageBreak/>
        <w:t xml:space="preserve">examine the </w:t>
      </w:r>
      <w:r>
        <w:rPr>
          <w:sz w:val="28"/>
          <w:szCs w:val="28"/>
          <w:lang w:val="en-US"/>
        </w:rPr>
        <w:t>impact of digital investment intensity on total factor productivity (TFP), return on assets (ROA), and revenue growth. Fixed-effects regression with instrumental variables (IV-FE) shows that a one-unit increase in the digital investment ratio is associated</w:t>
      </w:r>
      <w:r>
        <w:rPr>
          <w:sz w:val="28"/>
          <w:szCs w:val="28"/>
          <w:lang w:val="en-US"/>
        </w:rPr>
        <w:t xml:space="preserve"> with a 4.2% increase in TFP (p &lt; 0.01) and a 1.8 percentage-point improvement in ROA (p &lt; 0.05) with a two-year lag. The effect is heterogeneous: large firms and those in knowledge-intensive subsectors obtain disproportionately greater returns. The findin</w:t>
      </w:r>
      <w:r>
        <w:rPr>
          <w:sz w:val="28"/>
          <w:szCs w:val="28"/>
          <w:lang w:val="en-US"/>
        </w:rPr>
        <w:t xml:space="preserve">gs highlight absorptive capacity and managerial capabilities as key boundary conditions for </w:t>
      </w:r>
      <w:proofErr w:type="spellStart"/>
      <w:r>
        <w:rPr>
          <w:sz w:val="28"/>
          <w:szCs w:val="28"/>
          <w:lang w:val="en-US"/>
        </w:rPr>
        <w:t>realising</w:t>
      </w:r>
      <w:proofErr w:type="spellEnd"/>
      <w:r>
        <w:rPr>
          <w:sz w:val="28"/>
          <w:szCs w:val="28"/>
          <w:lang w:val="en-US"/>
        </w:rPr>
        <w:t xml:space="preserve"> digital transformation benefits.</w:t>
      </w:r>
    </w:p>
    <w:p w:rsidR="008B2482" w:rsidRPr="009204AB" w:rsidRDefault="008B2482">
      <w:pPr>
        <w:pStyle w:val="a3"/>
        <w:spacing w:before="0" w:beforeAutospacing="0" w:after="0" w:afterAutospacing="0" w:line="360" w:lineRule="auto"/>
        <w:ind w:firstLine="567"/>
        <w:jc w:val="both"/>
        <w:rPr>
          <w:lang w:val="en-US"/>
        </w:rPr>
      </w:pPr>
    </w:p>
    <w:p w:rsidR="008B2482" w:rsidRDefault="00CE005A">
      <w:pPr>
        <w:pStyle w:val="a3"/>
        <w:spacing w:before="0" w:beforeAutospacing="0" w:after="0" w:afterAutospacing="0" w:line="360" w:lineRule="auto"/>
        <w:ind w:firstLine="567"/>
      </w:pPr>
      <w:r>
        <w:rPr>
          <w:rStyle w:val="a4"/>
          <w:sz w:val="28"/>
          <w:szCs w:val="28"/>
        </w:rPr>
        <w:t>Аннотация</w:t>
      </w:r>
    </w:p>
    <w:p w:rsidR="008B2482" w:rsidRDefault="00CE005A">
      <w:pPr>
        <w:pStyle w:val="a3"/>
        <w:spacing w:before="0" w:beforeAutospacing="0" w:after="0" w:afterAutospacing="0" w:line="360" w:lineRule="auto"/>
        <w:ind w:firstLine="567"/>
        <w:jc w:val="both"/>
      </w:pPr>
      <w:r>
        <w:rPr>
          <w:sz w:val="28"/>
          <w:szCs w:val="28"/>
        </w:rPr>
        <w:t>Цифровая трансформация стала ключевым стратегическим императивом для промышленных предприятий. На основе сбала</w:t>
      </w:r>
      <w:r>
        <w:rPr>
          <w:sz w:val="28"/>
          <w:szCs w:val="28"/>
        </w:rPr>
        <w:t>нсированной панели из 487 российских предприятий (2018–2024) установлено, что увеличение коэффициента цифровых инвестиций ассоциировано с ростом СФП на 4,2% (p &lt; 0,01) и улучшением ROA на 1,8 п.п. (p &lt; 0,05) с двухлетним лагом. Эффект гетерогенен по размер</w:t>
      </w:r>
      <w:r>
        <w:rPr>
          <w:sz w:val="28"/>
          <w:szCs w:val="28"/>
        </w:rPr>
        <w:t>у фирмы и технологической интенсивности отрасли.</w:t>
      </w:r>
    </w:p>
    <w:p w:rsidR="008B2482" w:rsidRDefault="008B2482">
      <w:pPr>
        <w:pStyle w:val="a3"/>
        <w:spacing w:before="0" w:beforeAutospacing="0" w:after="0" w:afterAutospacing="0" w:line="360" w:lineRule="auto"/>
        <w:ind w:firstLine="567"/>
        <w:jc w:val="both"/>
      </w:pPr>
    </w:p>
    <w:p w:rsidR="008B2482" w:rsidRDefault="00CE005A">
      <w:pPr>
        <w:pStyle w:val="a3"/>
        <w:spacing w:before="0" w:beforeAutospacing="0" w:after="0" w:afterAutospacing="0" w:line="360" w:lineRule="auto"/>
        <w:ind w:firstLine="567"/>
        <w:jc w:val="both"/>
      </w:pPr>
      <w:r>
        <w:rPr>
          <w:rStyle w:val="a4"/>
          <w:sz w:val="28"/>
          <w:szCs w:val="28"/>
          <w:lang w:val="en-US"/>
        </w:rPr>
        <w:t>Keywords</w:t>
      </w:r>
      <w:r>
        <w:rPr>
          <w:rStyle w:val="a4"/>
          <w:sz w:val="28"/>
          <w:szCs w:val="28"/>
        </w:rPr>
        <w:t>:</w:t>
      </w:r>
      <w:r w:rsidRPr="009204AB">
        <w:rPr>
          <w:sz w:val="28"/>
          <w:szCs w:val="28"/>
        </w:rPr>
        <w:t xml:space="preserve"> </w:t>
      </w:r>
      <w:r>
        <w:rPr>
          <w:sz w:val="28"/>
          <w:szCs w:val="28"/>
          <w:lang w:val="en-US"/>
        </w:rPr>
        <w:t>digital</w:t>
      </w:r>
      <w:r w:rsidRPr="009204AB">
        <w:rPr>
          <w:sz w:val="28"/>
          <w:szCs w:val="28"/>
        </w:rPr>
        <w:t xml:space="preserve"> </w:t>
      </w:r>
      <w:r>
        <w:rPr>
          <w:sz w:val="28"/>
          <w:szCs w:val="28"/>
          <w:lang w:val="en-US"/>
        </w:rPr>
        <w:t>transformation</w:t>
      </w:r>
      <w:r w:rsidRPr="009204AB">
        <w:rPr>
          <w:sz w:val="28"/>
          <w:szCs w:val="28"/>
        </w:rPr>
        <w:t xml:space="preserve">, </w:t>
      </w:r>
      <w:r>
        <w:rPr>
          <w:sz w:val="28"/>
          <w:szCs w:val="28"/>
          <w:lang w:val="en-US"/>
        </w:rPr>
        <w:t>total</w:t>
      </w:r>
      <w:r w:rsidRPr="009204AB">
        <w:rPr>
          <w:sz w:val="28"/>
          <w:szCs w:val="28"/>
        </w:rPr>
        <w:t xml:space="preserve"> </w:t>
      </w:r>
      <w:r>
        <w:rPr>
          <w:sz w:val="28"/>
          <w:szCs w:val="28"/>
          <w:lang w:val="en-US"/>
        </w:rPr>
        <w:t>factor</w:t>
      </w:r>
      <w:r w:rsidRPr="009204AB">
        <w:rPr>
          <w:sz w:val="28"/>
          <w:szCs w:val="28"/>
        </w:rPr>
        <w:t xml:space="preserve"> </w:t>
      </w:r>
      <w:r>
        <w:rPr>
          <w:sz w:val="28"/>
          <w:szCs w:val="28"/>
          <w:lang w:val="en-US"/>
        </w:rPr>
        <w:t>productivity</w:t>
      </w:r>
      <w:r w:rsidRPr="009204AB">
        <w:rPr>
          <w:sz w:val="28"/>
          <w:szCs w:val="28"/>
        </w:rPr>
        <w:t xml:space="preserve">, </w:t>
      </w:r>
      <w:r>
        <w:rPr>
          <w:sz w:val="28"/>
          <w:szCs w:val="28"/>
          <w:lang w:val="en-US"/>
        </w:rPr>
        <w:t>panel</w:t>
      </w:r>
      <w:r w:rsidRPr="009204AB">
        <w:rPr>
          <w:sz w:val="28"/>
          <w:szCs w:val="28"/>
        </w:rPr>
        <w:t xml:space="preserve"> </w:t>
      </w:r>
      <w:r>
        <w:rPr>
          <w:sz w:val="28"/>
          <w:szCs w:val="28"/>
          <w:lang w:val="en-US"/>
        </w:rPr>
        <w:t>data</w:t>
      </w:r>
      <w:r w:rsidRPr="009204AB">
        <w:rPr>
          <w:sz w:val="28"/>
          <w:szCs w:val="28"/>
        </w:rPr>
        <w:t xml:space="preserve">, </w:t>
      </w:r>
      <w:r>
        <w:rPr>
          <w:sz w:val="28"/>
          <w:szCs w:val="28"/>
          <w:lang w:val="en-US"/>
        </w:rPr>
        <w:t>manufacturing</w:t>
      </w:r>
      <w:r w:rsidRPr="009204AB">
        <w:rPr>
          <w:sz w:val="28"/>
          <w:szCs w:val="28"/>
        </w:rPr>
        <w:t xml:space="preserve">, </w:t>
      </w:r>
      <w:r>
        <w:rPr>
          <w:sz w:val="28"/>
          <w:szCs w:val="28"/>
          <w:lang w:val="en-US"/>
        </w:rPr>
        <w:t>Russia</w:t>
      </w:r>
      <w:r w:rsidRPr="009204AB">
        <w:rPr>
          <w:sz w:val="28"/>
          <w:szCs w:val="28"/>
        </w:rPr>
        <w:t xml:space="preserve">, </w:t>
      </w:r>
      <w:r>
        <w:rPr>
          <w:sz w:val="28"/>
          <w:szCs w:val="28"/>
          <w:lang w:val="en-US"/>
        </w:rPr>
        <w:t>firm</w:t>
      </w:r>
      <w:r w:rsidRPr="009204AB">
        <w:rPr>
          <w:sz w:val="28"/>
          <w:szCs w:val="28"/>
        </w:rPr>
        <w:t xml:space="preserve"> </w:t>
      </w:r>
      <w:r>
        <w:rPr>
          <w:sz w:val="28"/>
          <w:szCs w:val="28"/>
          <w:lang w:val="en-US"/>
        </w:rPr>
        <w:t>performance</w:t>
      </w:r>
      <w:r w:rsidRPr="009204AB">
        <w:rPr>
          <w:sz w:val="28"/>
          <w:szCs w:val="28"/>
        </w:rPr>
        <w:t>.</w:t>
      </w:r>
    </w:p>
    <w:p w:rsidR="008B2482" w:rsidRDefault="00CE005A">
      <w:pPr>
        <w:pStyle w:val="a3"/>
        <w:spacing w:before="0" w:beforeAutospacing="0" w:after="0" w:afterAutospacing="0" w:line="360" w:lineRule="auto"/>
        <w:ind w:firstLine="567"/>
        <w:jc w:val="both"/>
      </w:pPr>
      <w:r>
        <w:rPr>
          <w:rStyle w:val="a4"/>
          <w:sz w:val="28"/>
          <w:szCs w:val="28"/>
        </w:rPr>
        <w:t>Ключевые слова</w:t>
      </w:r>
      <w:r w:rsidRPr="009204AB">
        <w:rPr>
          <w:rStyle w:val="a4"/>
          <w:sz w:val="28"/>
          <w:szCs w:val="28"/>
        </w:rPr>
        <w:t>:</w:t>
      </w:r>
      <w:r w:rsidRPr="009204AB">
        <w:rPr>
          <w:sz w:val="28"/>
          <w:szCs w:val="28"/>
        </w:rPr>
        <w:t xml:space="preserve"> цифровая трансформация, совокупная факторная производительность, панельные д</w:t>
      </w:r>
      <w:r w:rsidRPr="009204AB">
        <w:rPr>
          <w:sz w:val="28"/>
          <w:szCs w:val="28"/>
        </w:rPr>
        <w:t>анные, обрабатывающая промышленность.</w:t>
      </w:r>
    </w:p>
    <w:p w:rsidR="008B2482" w:rsidRDefault="008B2482">
      <w:pPr>
        <w:pStyle w:val="a3"/>
        <w:spacing w:before="0" w:beforeAutospacing="0" w:after="0" w:afterAutospacing="0" w:line="360" w:lineRule="auto"/>
        <w:ind w:firstLine="567"/>
        <w:jc w:val="both"/>
      </w:pPr>
    </w:p>
    <w:p w:rsidR="008B2482" w:rsidRPr="009204AB" w:rsidRDefault="00CE005A">
      <w:pPr>
        <w:pStyle w:val="a3"/>
        <w:spacing w:before="0" w:beforeAutospacing="0" w:after="0" w:afterAutospacing="0" w:line="360" w:lineRule="auto"/>
        <w:ind w:firstLine="567"/>
        <w:jc w:val="both"/>
        <w:rPr>
          <w:lang w:val="en-US"/>
        </w:rPr>
      </w:pPr>
      <w:r>
        <w:rPr>
          <w:b/>
          <w:sz w:val="28"/>
          <w:szCs w:val="28"/>
          <w:lang w:val="en-US"/>
        </w:rPr>
        <w:t>Introduction</w:t>
      </w:r>
    </w:p>
    <w:p w:rsidR="008B2482" w:rsidRPr="009204AB" w:rsidRDefault="00CE005A">
      <w:pPr>
        <w:pStyle w:val="a3"/>
        <w:spacing w:before="0" w:beforeAutospacing="0" w:after="0" w:afterAutospacing="0" w:line="360" w:lineRule="auto"/>
        <w:ind w:firstLine="567"/>
        <w:jc w:val="both"/>
        <w:rPr>
          <w:lang w:val="en-US"/>
        </w:rPr>
      </w:pPr>
      <w:r>
        <w:rPr>
          <w:sz w:val="28"/>
          <w:szCs w:val="28"/>
          <w:lang w:val="en-US"/>
        </w:rPr>
        <w:t xml:space="preserve">The diffusion of digital technologies — cloud computing, the industrial internet of things (IIoT), artificial intelligence, and advanced analytics — into manufacturing operations is widely regarded as a new source of productivity growth [1, p. 14]. At the </w:t>
      </w:r>
      <w:r>
        <w:rPr>
          <w:sz w:val="28"/>
          <w:szCs w:val="28"/>
          <w:lang w:val="en-US"/>
        </w:rPr>
        <w:t xml:space="preserve">same time, macro-level evidence on ICT investment and productivity remains mixed, reviving debate about the "productivity paradox" in a new technological context [2, p. 89]. At the firm level, digital transformation encompasses both </w:t>
      </w:r>
      <w:r>
        <w:rPr>
          <w:sz w:val="28"/>
          <w:szCs w:val="28"/>
          <w:lang w:val="en-US"/>
        </w:rPr>
        <w:lastRenderedPageBreak/>
        <w:t xml:space="preserve">technological adoption </w:t>
      </w:r>
      <w:r>
        <w:rPr>
          <w:sz w:val="28"/>
          <w:szCs w:val="28"/>
          <w:lang w:val="en-US"/>
        </w:rPr>
        <w:t>and organisational reconfiguration, making its performance effects theoretically ambiguous [3, p. 220]. Empirical evidence from transition economies, where institutional and managerial conditions differ substantially from those in advanced countries, is pa</w:t>
      </w:r>
      <w:r>
        <w:rPr>
          <w:sz w:val="28"/>
          <w:szCs w:val="28"/>
          <w:lang w:val="en-US"/>
        </w:rPr>
        <w:t>rticularly scarce [4, p. 56]. Russia manufacturing sector offers a valuable natural context: since 2018, significant digitalisation investments have been made within national programme initiatives, with pronounced heterogeneity across firms in size, techno</w:t>
      </w:r>
      <w:r>
        <w:rPr>
          <w:sz w:val="28"/>
          <w:szCs w:val="28"/>
          <w:lang w:val="en-US"/>
        </w:rPr>
        <w:t>logical level, and industry composition [5, p. 33]. The present article addresses this gap by providing causal estimates of digital investment effects on firm performance using a panel dataset and the instrumental variables method to address endogeneity.</w:t>
      </w:r>
    </w:p>
    <w:p w:rsidR="008B2482" w:rsidRPr="009204AB" w:rsidRDefault="008B2482">
      <w:pPr>
        <w:pStyle w:val="a3"/>
        <w:spacing w:before="0" w:beforeAutospacing="0" w:after="0" w:afterAutospacing="0" w:line="360" w:lineRule="auto"/>
        <w:ind w:firstLine="567"/>
        <w:jc w:val="both"/>
        <w:rPr>
          <w:lang w:val="en-US"/>
        </w:rPr>
      </w:pPr>
    </w:p>
    <w:p w:rsidR="008B2482" w:rsidRPr="009204AB" w:rsidRDefault="00CE005A">
      <w:pPr>
        <w:pStyle w:val="a3"/>
        <w:spacing w:before="0" w:beforeAutospacing="0" w:after="0" w:afterAutospacing="0" w:line="360" w:lineRule="auto"/>
        <w:ind w:firstLine="567"/>
        <w:jc w:val="both"/>
        <w:rPr>
          <w:lang w:val="en-US"/>
        </w:rPr>
      </w:pPr>
      <w:r>
        <w:rPr>
          <w:b/>
          <w:sz w:val="28"/>
          <w:szCs w:val="28"/>
          <w:lang w:val="en-US"/>
        </w:rPr>
        <w:t>Materials and methods</w:t>
      </w:r>
    </w:p>
    <w:p w:rsidR="008B2482" w:rsidRPr="009204AB" w:rsidRDefault="00CE005A">
      <w:pPr>
        <w:pStyle w:val="a3"/>
        <w:spacing w:before="0" w:beforeAutospacing="0" w:after="0" w:afterAutospacing="0" w:line="360" w:lineRule="auto"/>
        <w:ind w:firstLine="567"/>
        <w:jc w:val="both"/>
        <w:rPr>
          <w:lang w:val="en-US"/>
        </w:rPr>
      </w:pPr>
      <w:r>
        <w:rPr>
          <w:sz w:val="28"/>
          <w:szCs w:val="28"/>
          <w:lang w:val="en-US"/>
        </w:rPr>
        <w:t xml:space="preserve">The empirical analysis is based on a balanced panel of 487 Russian manufacturing firms observed annually over 2018–2024 (T = 7; 3,409 firm-year observations). Data were drawn from the SPARK-Interfax financial database supplemented by </w:t>
      </w:r>
      <w:r>
        <w:rPr>
          <w:sz w:val="28"/>
          <w:szCs w:val="28"/>
          <w:lang w:val="en-US"/>
        </w:rPr>
        <w:t>Rosstat ICT survey materials. The digital investment ratio (DIR) — the share of capital expenditure directed towards software, hardware, and digital infrastructure — serves as the main independent variable. Dependent variables are TFP (estimated by the Oll</w:t>
      </w:r>
      <w:r>
        <w:rPr>
          <w:sz w:val="28"/>
          <w:szCs w:val="28"/>
          <w:lang w:val="en-US"/>
        </w:rPr>
        <w:t>ey-Pakes method), ROA, and revenue growth rate. Fixed-effects regression with cluster-robust standard errors was used for estimation. To address endogeneity, two instrumental variables were employed: regional broadband penetration rate (lagged one year) an</w:t>
      </w:r>
      <w:r>
        <w:rPr>
          <w:sz w:val="28"/>
          <w:szCs w:val="28"/>
          <w:lang w:val="en-US"/>
        </w:rPr>
        <w:t xml:space="preserve">d the industry-average DIR excluding the focal firm. Instrument validity was confirmed by first-stage F-statistics (&gt; 20) and the Sargan-Hansen test [6, p. 178]. Heterogeneity analysis was conducted by firm size and subsector technological intensity (OECD </w:t>
      </w:r>
      <w:r>
        <w:rPr>
          <w:sz w:val="28"/>
          <w:szCs w:val="28"/>
          <w:lang w:val="en-US"/>
        </w:rPr>
        <w:t>classification) [7, p. 44].</w:t>
      </w:r>
    </w:p>
    <w:p w:rsidR="008B2482" w:rsidRPr="009204AB" w:rsidRDefault="008B2482">
      <w:pPr>
        <w:pStyle w:val="a3"/>
        <w:spacing w:before="0" w:beforeAutospacing="0" w:after="0" w:afterAutospacing="0" w:line="360" w:lineRule="auto"/>
        <w:ind w:firstLine="567"/>
        <w:jc w:val="both"/>
        <w:rPr>
          <w:lang w:val="en-US"/>
        </w:rPr>
      </w:pPr>
    </w:p>
    <w:p w:rsidR="008B2482" w:rsidRDefault="00CE005A">
      <w:pPr>
        <w:pStyle w:val="a3"/>
        <w:spacing w:before="0" w:beforeAutospacing="0" w:after="0" w:afterAutospacing="0" w:line="360" w:lineRule="auto"/>
        <w:ind w:firstLine="567"/>
        <w:jc w:val="both"/>
      </w:pPr>
      <w:r>
        <w:rPr>
          <w:b/>
          <w:sz w:val="28"/>
          <w:szCs w:val="28"/>
          <w:lang w:val="en-US"/>
        </w:rPr>
        <w:t>Results and discussion</w:t>
      </w:r>
    </w:p>
    <w:p w:rsidR="008B2482" w:rsidRPr="009204AB" w:rsidRDefault="00CE005A">
      <w:pPr>
        <w:pStyle w:val="a3"/>
        <w:spacing w:before="0" w:beforeAutospacing="0" w:after="0" w:afterAutospacing="0" w:line="360" w:lineRule="auto"/>
        <w:ind w:firstLine="567"/>
        <w:jc w:val="both"/>
        <w:rPr>
          <w:lang w:val="en-US"/>
        </w:rPr>
      </w:pPr>
      <w:r>
        <w:rPr>
          <w:sz w:val="28"/>
          <w:szCs w:val="28"/>
          <w:lang w:val="en-US"/>
        </w:rPr>
        <w:t xml:space="preserve">Baseline IV-FE estimates show that a one-unit increase in DIR is associated with a 4.2% increase in TFP (beta = 0.042, SE = 0.011, p &lt; 0.001) and a 1.8 pp improvement in ROA (beta = 0.018, p &lt; 0.05) with </w:t>
      </w:r>
      <w:r>
        <w:rPr>
          <w:sz w:val="28"/>
          <w:szCs w:val="28"/>
          <w:lang w:val="en-US"/>
        </w:rPr>
        <w:t xml:space="preserve">a two-year lag, consistent with </w:t>
      </w:r>
      <w:r>
        <w:rPr>
          <w:sz w:val="28"/>
          <w:szCs w:val="28"/>
          <w:lang w:val="en-US"/>
        </w:rPr>
        <w:lastRenderedPageBreak/>
        <w:t>documented adoption-cost amortisation periods [3, p. 223]. The revenue growth effect is positive but marginally significant (beta = 0.009, p = 0.07). Heterogeneity analysis reveals that large firms (&gt; 250 employees) obtain a</w:t>
      </w:r>
      <w:r>
        <w:rPr>
          <w:sz w:val="28"/>
          <w:szCs w:val="28"/>
          <w:lang w:val="en-US"/>
        </w:rPr>
        <w:t>pproximately 2.4 times larger TFP gains than SMEs, while firms in high-technology subsectors gain 1.9 times more than low-technology counterparts. These results are broadly consistent with absorptive capacity theory [8, p. 128], suggesting that organisatio</w:t>
      </w:r>
      <w:r>
        <w:rPr>
          <w:sz w:val="28"/>
          <w:szCs w:val="28"/>
          <w:lang w:val="en-US"/>
        </w:rPr>
        <w:t>nal competencies — not investment volume alone — are the binding constraint on performance improvement. Table 1 presents the main regression coefficients; Figure 1 illustrates heterogeneous TFP effects by firm size group.</w:t>
      </w:r>
    </w:p>
    <w:p w:rsidR="009204AB" w:rsidRPr="00B37E38" w:rsidRDefault="009204AB" w:rsidP="009204AB">
      <w:pPr>
        <w:pStyle w:val="a3"/>
        <w:spacing w:before="0" w:beforeAutospacing="0" w:after="0" w:afterAutospacing="0" w:line="360" w:lineRule="auto"/>
        <w:ind w:firstLine="567"/>
        <w:jc w:val="both"/>
        <w:rPr>
          <w:lang w:val="en-US"/>
        </w:rPr>
      </w:pPr>
    </w:p>
    <w:p w:rsidR="009204AB" w:rsidRPr="00EF245A" w:rsidRDefault="009204AB" w:rsidP="009204AB">
      <w:pPr>
        <w:pStyle w:val="a3"/>
        <w:spacing w:after="0" w:line="360" w:lineRule="auto"/>
        <w:ind w:firstLine="567"/>
        <w:jc w:val="center"/>
        <w:rPr>
          <w:b/>
          <w:i/>
          <w:sz w:val="28"/>
          <w:szCs w:val="28"/>
        </w:rPr>
      </w:pPr>
      <w:r>
        <w:rPr>
          <w:noProof/>
        </w:rPr>
        <w:drawing>
          <wp:inline distT="0" distB="0" distL="0" distR="0" wp14:anchorId="275325BC" wp14:editId="3BDB7749">
            <wp:extent cx="1691640" cy="518160"/>
            <wp:effectExtent l="133350" t="114300" r="156210" b="1676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91640" cy="518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B2482" w:rsidRPr="009204AB" w:rsidRDefault="00CE005A">
      <w:pPr>
        <w:pStyle w:val="a3"/>
        <w:spacing w:after="0" w:line="360" w:lineRule="auto"/>
        <w:ind w:firstLine="567"/>
        <w:jc w:val="center"/>
        <w:rPr>
          <w:lang w:val="en-US"/>
        </w:rPr>
      </w:pPr>
      <w:proofErr w:type="gramStart"/>
      <w:r>
        <w:rPr>
          <w:b/>
          <w:i/>
          <w:sz w:val="28"/>
          <w:szCs w:val="28"/>
          <w:lang w:val="en-US"/>
        </w:rPr>
        <w:t>Figure 1.</w:t>
      </w:r>
      <w:proofErr w:type="gramEnd"/>
      <w:r>
        <w:rPr>
          <w:b/>
          <w:i/>
          <w:sz w:val="28"/>
          <w:szCs w:val="28"/>
          <w:lang w:val="en-US"/>
        </w:rPr>
        <w:t xml:space="preserve"> Heterogeneous TFP </w:t>
      </w:r>
      <w:r>
        <w:rPr>
          <w:b/>
          <w:i/>
          <w:sz w:val="28"/>
          <w:szCs w:val="28"/>
          <w:lang w:val="en-US"/>
        </w:rPr>
        <w:t>effects of digital investment by firm size group (IV-FE estimates with 95% confidence intervals).</w:t>
      </w:r>
    </w:p>
    <w:p w:rsidR="008B2482" w:rsidRPr="009204AB" w:rsidRDefault="00CE005A">
      <w:pPr>
        <w:pStyle w:val="a3"/>
        <w:spacing w:before="0" w:beforeAutospacing="0" w:after="0" w:afterAutospacing="0" w:line="360" w:lineRule="auto"/>
        <w:ind w:firstLine="567"/>
        <w:jc w:val="both"/>
        <w:rPr>
          <w:lang w:val="en-US"/>
        </w:rPr>
      </w:pPr>
      <w:r>
        <w:rPr>
          <w:sz w:val="28"/>
          <w:szCs w:val="28"/>
          <w:lang w:val="en-US"/>
        </w:rPr>
        <w:t>[Coefficient plot: x-axis — TFP effect size (beta coefficient); two grouped bars: Large firms (beta = 0.082, CI 0.054–0.110) and SMEs (beta = 0.034, CI 0.011–</w:t>
      </w:r>
      <w:r>
        <w:rPr>
          <w:sz w:val="28"/>
          <w:szCs w:val="28"/>
          <w:lang w:val="en-US"/>
        </w:rPr>
        <w:t>0.057). Dashed line at zero. Error bars represent 95% CIs.]</w:t>
      </w:r>
    </w:p>
    <w:p w:rsidR="008B2482" w:rsidRPr="009204AB" w:rsidRDefault="008B2482">
      <w:pPr>
        <w:pStyle w:val="a3"/>
        <w:spacing w:before="0" w:beforeAutospacing="0" w:after="0" w:afterAutospacing="0" w:line="360" w:lineRule="auto"/>
        <w:ind w:firstLine="567"/>
        <w:jc w:val="center"/>
        <w:rPr>
          <w:lang w:val="en-US"/>
        </w:rPr>
      </w:pPr>
    </w:p>
    <w:p w:rsidR="008B2482" w:rsidRPr="009204AB" w:rsidRDefault="00CE005A">
      <w:pPr>
        <w:pStyle w:val="a3"/>
        <w:spacing w:before="0" w:beforeAutospacing="0" w:after="0" w:afterAutospacing="0" w:line="360" w:lineRule="auto"/>
        <w:ind w:firstLine="567"/>
        <w:jc w:val="center"/>
        <w:rPr>
          <w:lang w:val="en-US"/>
        </w:rPr>
      </w:pPr>
      <w:proofErr w:type="gramStart"/>
      <w:r>
        <w:rPr>
          <w:b/>
          <w:i/>
          <w:sz w:val="28"/>
          <w:szCs w:val="28"/>
          <w:lang w:val="en-US"/>
        </w:rPr>
        <w:t>Table 1.</w:t>
      </w:r>
      <w:proofErr w:type="gramEnd"/>
      <w:r>
        <w:rPr>
          <w:b/>
          <w:i/>
          <w:sz w:val="28"/>
          <w:szCs w:val="28"/>
          <w:lang w:val="en-US"/>
        </w:rPr>
        <w:t xml:space="preserve"> IV-FE regression results: effect of digital investment on firm </w:t>
      </w:r>
      <w:proofErr w:type="gramStart"/>
      <w:r>
        <w:rPr>
          <w:b/>
          <w:i/>
          <w:sz w:val="28"/>
          <w:szCs w:val="28"/>
          <w:lang w:val="en-US"/>
        </w:rPr>
        <w:t>performance</w:t>
      </w:r>
      <w:proofErr w:type="gramEnd"/>
      <w:r>
        <w:rPr>
          <w:b/>
          <w:i/>
          <w:sz w:val="28"/>
          <w:szCs w:val="28"/>
          <w:lang w:val="en-US"/>
        </w:rPr>
        <w:t>.</w:t>
      </w:r>
    </w:p>
    <w:p w:rsidR="008B2482" w:rsidRPr="009204AB" w:rsidRDefault="008B2482">
      <w:pPr>
        <w:pStyle w:val="a3"/>
        <w:spacing w:before="0" w:beforeAutospacing="0" w:after="0" w:afterAutospacing="0" w:line="360" w:lineRule="auto"/>
        <w:ind w:firstLine="567"/>
        <w:jc w:val="center"/>
        <w:rPr>
          <w:lang w:val="en-US"/>
        </w:rPr>
      </w:pPr>
    </w:p>
    <w:tbl>
      <w:tblPr>
        <w:tblStyle w:val="ad"/>
        <w:tblW w:w="0" w:type="auto"/>
        <w:tblLook w:val="04A0" w:firstRow="1" w:lastRow="0" w:firstColumn="1" w:lastColumn="0" w:noHBand="0" w:noVBand="1"/>
      </w:tblPr>
      <w:tblGrid>
        <w:gridCol w:w="3284"/>
        <w:gridCol w:w="3285"/>
        <w:gridCol w:w="3285"/>
      </w:tblGrid>
      <w:tr w:rsidR="008B2482">
        <w:tc>
          <w:tcPr>
            <w:tcW w:w="3284" w:type="dxa"/>
          </w:tcPr>
          <w:p w:rsidR="008B2482" w:rsidRDefault="00CE005A">
            <w:pPr>
              <w:pStyle w:val="a3"/>
              <w:spacing w:before="0" w:beforeAutospacing="0" w:after="0" w:afterAutospacing="0" w:line="360" w:lineRule="auto"/>
              <w:jc w:val="center"/>
            </w:pPr>
            <w:r>
              <w:rPr>
                <w:b/>
                <w:sz w:val="28"/>
                <w:szCs w:val="28"/>
                <w:lang w:val="en-US"/>
              </w:rPr>
              <w:t>Outcome variable</w:t>
            </w:r>
          </w:p>
        </w:tc>
        <w:tc>
          <w:tcPr>
            <w:tcW w:w="3285" w:type="dxa"/>
          </w:tcPr>
          <w:p w:rsidR="008B2482" w:rsidRDefault="00CE005A">
            <w:pPr>
              <w:pStyle w:val="a3"/>
              <w:spacing w:before="0" w:beforeAutospacing="0" w:after="0" w:afterAutospacing="0" w:line="360" w:lineRule="auto"/>
              <w:jc w:val="center"/>
            </w:pPr>
            <w:r>
              <w:rPr>
                <w:b/>
                <w:sz w:val="28"/>
                <w:szCs w:val="28"/>
                <w:lang w:val="en-US"/>
              </w:rPr>
              <w:t>Coefficient (beta)</w:t>
            </w:r>
          </w:p>
        </w:tc>
        <w:tc>
          <w:tcPr>
            <w:tcW w:w="3285" w:type="dxa"/>
          </w:tcPr>
          <w:p w:rsidR="008B2482" w:rsidRDefault="00CE005A">
            <w:pPr>
              <w:pStyle w:val="a3"/>
              <w:spacing w:before="0" w:beforeAutospacing="0" w:after="0" w:afterAutospacing="0" w:line="360" w:lineRule="auto"/>
              <w:jc w:val="center"/>
            </w:pPr>
            <w:r>
              <w:rPr>
                <w:b/>
                <w:sz w:val="28"/>
                <w:szCs w:val="28"/>
                <w:lang w:val="en-US"/>
              </w:rPr>
              <w:t>p-value</w:t>
            </w:r>
          </w:p>
        </w:tc>
      </w:tr>
      <w:tr w:rsidR="008B2482">
        <w:tc>
          <w:tcPr>
            <w:tcW w:w="3284" w:type="dxa"/>
          </w:tcPr>
          <w:p w:rsidR="008B2482" w:rsidRDefault="00CE005A">
            <w:pPr>
              <w:pStyle w:val="a3"/>
              <w:spacing w:before="0" w:beforeAutospacing="0" w:after="0" w:afterAutospacing="0" w:line="360" w:lineRule="auto"/>
              <w:jc w:val="center"/>
            </w:pPr>
            <w:r>
              <w:rPr>
                <w:sz w:val="28"/>
                <w:szCs w:val="28"/>
                <w:lang w:val="en-US"/>
              </w:rPr>
              <w:t>TFP growth (%)</w:t>
            </w:r>
          </w:p>
        </w:tc>
        <w:tc>
          <w:tcPr>
            <w:tcW w:w="3285" w:type="dxa"/>
          </w:tcPr>
          <w:p w:rsidR="008B2482" w:rsidRDefault="00CE005A">
            <w:pPr>
              <w:pStyle w:val="a3"/>
              <w:spacing w:before="0" w:beforeAutospacing="0" w:after="0" w:afterAutospacing="0" w:line="360" w:lineRule="auto"/>
              <w:jc w:val="center"/>
            </w:pPr>
            <w:r>
              <w:rPr>
                <w:sz w:val="28"/>
                <w:szCs w:val="28"/>
                <w:lang w:val="en-US"/>
              </w:rPr>
              <w:t>4.2</w:t>
            </w:r>
          </w:p>
        </w:tc>
        <w:tc>
          <w:tcPr>
            <w:tcW w:w="3285" w:type="dxa"/>
          </w:tcPr>
          <w:p w:rsidR="008B2482" w:rsidRDefault="00CE005A">
            <w:pPr>
              <w:pStyle w:val="a3"/>
              <w:spacing w:before="0" w:beforeAutospacing="0" w:after="0" w:afterAutospacing="0" w:line="360" w:lineRule="auto"/>
              <w:jc w:val="center"/>
            </w:pPr>
            <w:r>
              <w:rPr>
                <w:sz w:val="28"/>
                <w:szCs w:val="28"/>
                <w:lang w:val="en-US"/>
              </w:rPr>
              <w:t>&lt; 0.001</w:t>
            </w:r>
          </w:p>
        </w:tc>
      </w:tr>
      <w:tr w:rsidR="008B2482">
        <w:tc>
          <w:tcPr>
            <w:tcW w:w="3284" w:type="dxa"/>
          </w:tcPr>
          <w:p w:rsidR="008B2482" w:rsidRDefault="00CE005A">
            <w:pPr>
              <w:pStyle w:val="a3"/>
              <w:spacing w:before="0" w:beforeAutospacing="0" w:after="0" w:afterAutospacing="0" w:line="360" w:lineRule="auto"/>
              <w:jc w:val="center"/>
            </w:pPr>
            <w:r>
              <w:rPr>
                <w:sz w:val="28"/>
                <w:szCs w:val="28"/>
                <w:lang w:val="en-US"/>
              </w:rPr>
              <w:t>ROA (pp)</w:t>
            </w:r>
          </w:p>
        </w:tc>
        <w:tc>
          <w:tcPr>
            <w:tcW w:w="3285" w:type="dxa"/>
          </w:tcPr>
          <w:p w:rsidR="008B2482" w:rsidRDefault="00CE005A">
            <w:pPr>
              <w:pStyle w:val="a3"/>
              <w:spacing w:before="0" w:beforeAutospacing="0" w:after="0" w:afterAutospacing="0" w:line="360" w:lineRule="auto"/>
              <w:jc w:val="center"/>
            </w:pPr>
            <w:r>
              <w:rPr>
                <w:sz w:val="28"/>
                <w:szCs w:val="28"/>
                <w:lang w:val="en-US"/>
              </w:rPr>
              <w:t>1.8</w:t>
            </w:r>
          </w:p>
        </w:tc>
        <w:tc>
          <w:tcPr>
            <w:tcW w:w="3285" w:type="dxa"/>
          </w:tcPr>
          <w:p w:rsidR="008B2482" w:rsidRDefault="00CE005A">
            <w:pPr>
              <w:pStyle w:val="a3"/>
              <w:spacing w:before="0" w:beforeAutospacing="0" w:after="0" w:afterAutospacing="0" w:line="360" w:lineRule="auto"/>
              <w:jc w:val="center"/>
            </w:pPr>
            <w:r>
              <w:rPr>
                <w:sz w:val="28"/>
                <w:szCs w:val="28"/>
                <w:lang w:val="en-US"/>
              </w:rPr>
              <w:t>&lt; 0.05</w:t>
            </w:r>
          </w:p>
        </w:tc>
      </w:tr>
      <w:tr w:rsidR="008B2482">
        <w:tc>
          <w:tcPr>
            <w:tcW w:w="3284" w:type="dxa"/>
          </w:tcPr>
          <w:p w:rsidR="008B2482" w:rsidRDefault="00CE005A">
            <w:pPr>
              <w:pStyle w:val="a3"/>
              <w:spacing w:before="0" w:beforeAutospacing="0" w:after="0" w:afterAutospacing="0" w:line="360" w:lineRule="auto"/>
              <w:jc w:val="center"/>
            </w:pPr>
            <w:r>
              <w:rPr>
                <w:sz w:val="28"/>
                <w:szCs w:val="28"/>
                <w:lang w:val="en-US"/>
              </w:rPr>
              <w:t>Revenue growth</w:t>
            </w:r>
          </w:p>
        </w:tc>
        <w:tc>
          <w:tcPr>
            <w:tcW w:w="3285" w:type="dxa"/>
          </w:tcPr>
          <w:p w:rsidR="008B2482" w:rsidRDefault="00CE005A">
            <w:pPr>
              <w:pStyle w:val="a3"/>
              <w:spacing w:before="0" w:beforeAutospacing="0" w:after="0" w:afterAutospacing="0" w:line="360" w:lineRule="auto"/>
              <w:jc w:val="center"/>
            </w:pPr>
            <w:r>
              <w:rPr>
                <w:sz w:val="28"/>
                <w:szCs w:val="28"/>
                <w:lang w:val="en-US"/>
              </w:rPr>
              <w:t>0.9</w:t>
            </w:r>
          </w:p>
        </w:tc>
        <w:tc>
          <w:tcPr>
            <w:tcW w:w="3285" w:type="dxa"/>
          </w:tcPr>
          <w:p w:rsidR="008B2482" w:rsidRDefault="00CE005A">
            <w:pPr>
              <w:pStyle w:val="a3"/>
              <w:spacing w:before="0" w:beforeAutospacing="0" w:after="0" w:afterAutospacing="0" w:line="360" w:lineRule="auto"/>
              <w:jc w:val="center"/>
            </w:pPr>
            <w:r>
              <w:rPr>
                <w:sz w:val="28"/>
                <w:szCs w:val="28"/>
                <w:lang w:val="en-US"/>
              </w:rPr>
              <w:t>0.07</w:t>
            </w:r>
          </w:p>
        </w:tc>
      </w:tr>
      <w:tr w:rsidR="008B2482">
        <w:tc>
          <w:tcPr>
            <w:tcW w:w="3284" w:type="dxa"/>
          </w:tcPr>
          <w:p w:rsidR="008B2482" w:rsidRDefault="00CE005A">
            <w:pPr>
              <w:pStyle w:val="a3"/>
              <w:spacing w:before="0" w:beforeAutospacing="0" w:after="0" w:afterAutospacing="0" w:line="360" w:lineRule="auto"/>
              <w:jc w:val="center"/>
            </w:pPr>
            <w:r>
              <w:rPr>
                <w:sz w:val="28"/>
                <w:szCs w:val="28"/>
                <w:lang w:val="en-US"/>
              </w:rPr>
              <w:t>Observations</w:t>
            </w:r>
          </w:p>
        </w:tc>
        <w:tc>
          <w:tcPr>
            <w:tcW w:w="3285" w:type="dxa"/>
          </w:tcPr>
          <w:p w:rsidR="008B2482" w:rsidRDefault="00CE005A">
            <w:pPr>
              <w:pStyle w:val="a3"/>
              <w:spacing w:before="0" w:beforeAutospacing="0" w:after="0" w:afterAutospacing="0" w:line="360" w:lineRule="auto"/>
              <w:jc w:val="center"/>
            </w:pPr>
            <w:r>
              <w:rPr>
                <w:sz w:val="28"/>
                <w:szCs w:val="28"/>
                <w:lang w:val="en-US"/>
              </w:rPr>
              <w:t>3,409</w:t>
            </w:r>
          </w:p>
        </w:tc>
        <w:tc>
          <w:tcPr>
            <w:tcW w:w="3285" w:type="dxa"/>
          </w:tcPr>
          <w:p w:rsidR="008B2482" w:rsidRDefault="00CE005A">
            <w:pPr>
              <w:pStyle w:val="a3"/>
              <w:spacing w:before="0" w:beforeAutospacing="0" w:after="0" w:afterAutospacing="0" w:line="360" w:lineRule="auto"/>
              <w:jc w:val="center"/>
            </w:pPr>
            <w:r>
              <w:rPr>
                <w:sz w:val="28"/>
                <w:szCs w:val="28"/>
                <w:lang w:val="en-US"/>
              </w:rPr>
              <w:t>—</w:t>
            </w:r>
          </w:p>
        </w:tc>
      </w:tr>
    </w:tbl>
    <w:p w:rsidR="008B2482" w:rsidRDefault="008B2482">
      <w:pPr>
        <w:pStyle w:val="a3"/>
        <w:spacing w:before="0" w:beforeAutospacing="0" w:after="0" w:afterAutospacing="0" w:line="360" w:lineRule="auto"/>
        <w:ind w:firstLine="567"/>
        <w:jc w:val="center"/>
      </w:pPr>
    </w:p>
    <w:p w:rsidR="008B2482" w:rsidRDefault="00CE005A">
      <w:pPr>
        <w:pStyle w:val="a3"/>
        <w:spacing w:before="0" w:beforeAutospacing="0" w:after="0" w:afterAutospacing="0" w:line="360" w:lineRule="auto"/>
        <w:ind w:firstLine="567"/>
        <w:jc w:val="both"/>
      </w:pPr>
      <w:r>
        <w:rPr>
          <w:b/>
          <w:sz w:val="28"/>
          <w:szCs w:val="28"/>
          <w:lang w:val="en-US"/>
        </w:rPr>
        <w:t>Conclusion</w:t>
      </w:r>
    </w:p>
    <w:p w:rsidR="008B2482" w:rsidRPr="009204AB" w:rsidRDefault="00CE005A">
      <w:pPr>
        <w:pStyle w:val="a3"/>
        <w:spacing w:before="0" w:beforeAutospacing="0" w:after="0" w:afterAutospacing="0" w:line="360" w:lineRule="auto"/>
        <w:ind w:firstLine="567"/>
        <w:jc w:val="both"/>
        <w:rPr>
          <w:lang w:val="en-US"/>
        </w:rPr>
      </w:pPr>
      <w:r>
        <w:rPr>
          <w:sz w:val="28"/>
          <w:szCs w:val="28"/>
          <w:lang w:val="en-US"/>
        </w:rPr>
        <w:lastRenderedPageBreak/>
        <w:t>Digital transformation delivers a measurable and statistically significant increase in productivity and profitability for Russian manufacturing firms; however, these benefits materialise with a lag and are concen</w:t>
      </w:r>
      <w:r>
        <w:rPr>
          <w:sz w:val="28"/>
          <w:szCs w:val="28"/>
          <w:lang w:val="en-US"/>
        </w:rPr>
        <w:t>trated among large and technologically advanced firms. SMEs and low-technology-sector enterprises risk failing to achieve expected returns, pointing to a need for differentiated public support measures. From a managerial perspective, complementary investme</w:t>
      </w:r>
      <w:r>
        <w:rPr>
          <w:sz w:val="28"/>
          <w:szCs w:val="28"/>
          <w:lang w:val="en-US"/>
        </w:rPr>
        <w:t>nts in human capital and organisational restructuring are critical alongside technological adoption. Future research should examine the role of specific digital technology types (AI, IoT, ERP) in disaggregated performance indicators and conduct comparative</w:t>
      </w:r>
      <w:r>
        <w:rPr>
          <w:sz w:val="28"/>
          <w:szCs w:val="28"/>
          <w:lang w:val="en-US"/>
        </w:rPr>
        <w:t xml:space="preserve"> analysis across other transition economies.</w:t>
      </w:r>
    </w:p>
    <w:p w:rsidR="008B2482" w:rsidRPr="009204AB" w:rsidRDefault="008B2482">
      <w:pPr>
        <w:pStyle w:val="a3"/>
        <w:spacing w:before="0" w:beforeAutospacing="0" w:after="0" w:afterAutospacing="0" w:line="360" w:lineRule="auto"/>
        <w:ind w:firstLine="567"/>
        <w:jc w:val="both"/>
        <w:rPr>
          <w:lang w:val="en-US"/>
        </w:rPr>
      </w:pPr>
    </w:p>
    <w:p w:rsidR="008B2482" w:rsidRDefault="00CE005A">
      <w:pPr>
        <w:pStyle w:val="a3"/>
        <w:spacing w:before="0" w:beforeAutospacing="0" w:after="0" w:afterAutospacing="0" w:line="360" w:lineRule="auto"/>
        <w:ind w:firstLine="567"/>
        <w:jc w:val="both"/>
      </w:pPr>
      <w:r>
        <w:rPr>
          <w:rStyle w:val="a4"/>
          <w:sz w:val="28"/>
          <w:szCs w:val="28"/>
          <w:lang w:val="en-US"/>
        </w:rPr>
        <w:t>References:</w:t>
      </w:r>
    </w:p>
    <w:p w:rsidR="009204AB" w:rsidRPr="009204AB" w:rsidRDefault="009204AB">
      <w:pPr>
        <w:pStyle w:val="a3"/>
        <w:numPr>
          <w:ilvl w:val="0"/>
          <w:numId w:val="3"/>
        </w:numPr>
        <w:spacing w:before="0" w:beforeAutospacing="0" w:after="0" w:afterAutospacing="0" w:line="360" w:lineRule="auto"/>
        <w:ind w:left="0" w:firstLine="567"/>
        <w:jc w:val="both"/>
        <w:rPr>
          <w:lang w:val="en-US"/>
        </w:rPr>
      </w:pPr>
      <w:bookmarkStart w:id="0" w:name="_GoBack"/>
      <w:proofErr w:type="spellStart"/>
      <w:r>
        <w:rPr>
          <w:sz w:val="28"/>
          <w:szCs w:val="28"/>
          <w:lang w:val="en-US"/>
        </w:rPr>
        <w:t>Acemoglu</w:t>
      </w:r>
      <w:proofErr w:type="spellEnd"/>
      <w:r>
        <w:rPr>
          <w:sz w:val="28"/>
          <w:szCs w:val="28"/>
          <w:lang w:val="en-US"/>
        </w:rPr>
        <w:t xml:space="preserve"> D., Restrepo P. Robots and jobs: evidence from US labor markets // Journal of Political Economy. – 2020. – Vol. 128, no. 6. – pp. 89–127.</w:t>
      </w:r>
    </w:p>
    <w:p w:rsidR="009204AB" w:rsidRPr="009204AB" w:rsidRDefault="009204AB">
      <w:pPr>
        <w:pStyle w:val="a3"/>
        <w:numPr>
          <w:ilvl w:val="0"/>
          <w:numId w:val="3"/>
        </w:numPr>
        <w:spacing w:before="0" w:beforeAutospacing="0" w:after="0" w:afterAutospacing="0" w:line="360" w:lineRule="auto"/>
        <w:ind w:left="0" w:firstLine="567"/>
        <w:jc w:val="both"/>
        <w:rPr>
          <w:lang w:val="en-US"/>
        </w:rPr>
      </w:pPr>
      <w:proofErr w:type="spellStart"/>
      <w:r>
        <w:rPr>
          <w:sz w:val="28"/>
          <w:szCs w:val="28"/>
          <w:lang w:val="en-US"/>
        </w:rPr>
        <w:t>Brynjolfsson</w:t>
      </w:r>
      <w:proofErr w:type="spellEnd"/>
      <w:r>
        <w:rPr>
          <w:sz w:val="28"/>
          <w:szCs w:val="28"/>
          <w:lang w:val="en-US"/>
        </w:rPr>
        <w:t xml:space="preserve"> E., Rock D., Syverson C. The productivity J-curve: how intangibles complement general purpose technologies // American Economic Journal: Macroeconomics. – 2021. – Vol. 13, no. 1. – pp. 14–60.</w:t>
      </w:r>
    </w:p>
    <w:p w:rsidR="009204AB" w:rsidRPr="009204AB" w:rsidRDefault="009204AB">
      <w:pPr>
        <w:pStyle w:val="a3"/>
        <w:numPr>
          <w:ilvl w:val="0"/>
          <w:numId w:val="3"/>
        </w:numPr>
        <w:spacing w:before="0" w:beforeAutospacing="0" w:after="0" w:afterAutospacing="0" w:line="360" w:lineRule="auto"/>
        <w:ind w:left="0" w:firstLine="567"/>
        <w:jc w:val="both"/>
        <w:rPr>
          <w:lang w:val="en-US"/>
        </w:rPr>
      </w:pPr>
      <w:r>
        <w:rPr>
          <w:sz w:val="28"/>
          <w:szCs w:val="28"/>
          <w:lang w:val="en-US"/>
        </w:rPr>
        <w:t xml:space="preserve">Cohen W.M., </w:t>
      </w:r>
      <w:proofErr w:type="spellStart"/>
      <w:r>
        <w:rPr>
          <w:sz w:val="28"/>
          <w:szCs w:val="28"/>
          <w:lang w:val="en-US"/>
        </w:rPr>
        <w:t>Levinthal</w:t>
      </w:r>
      <w:proofErr w:type="spellEnd"/>
      <w:r>
        <w:rPr>
          <w:sz w:val="28"/>
          <w:szCs w:val="28"/>
          <w:lang w:val="en-US"/>
        </w:rPr>
        <w:t xml:space="preserve"> D.A. Absorptive capacity: a new perspective on learning and innovation // Administrative Science Quarterly. – 1990. – Vol. 35, no. 1. – pp. 128–152.</w:t>
      </w:r>
    </w:p>
    <w:p w:rsidR="009204AB" w:rsidRPr="009204AB" w:rsidRDefault="009204AB">
      <w:pPr>
        <w:pStyle w:val="a3"/>
        <w:numPr>
          <w:ilvl w:val="0"/>
          <w:numId w:val="3"/>
        </w:numPr>
        <w:spacing w:before="0" w:beforeAutospacing="0" w:after="0" w:afterAutospacing="0" w:line="360" w:lineRule="auto"/>
        <w:ind w:left="0" w:firstLine="567"/>
        <w:jc w:val="both"/>
        <w:rPr>
          <w:lang w:val="en-US"/>
        </w:rPr>
      </w:pPr>
      <w:proofErr w:type="spellStart"/>
      <w:r>
        <w:rPr>
          <w:sz w:val="28"/>
          <w:szCs w:val="28"/>
          <w:lang w:val="en-US"/>
        </w:rPr>
        <w:t>Godinho</w:t>
      </w:r>
      <w:proofErr w:type="spellEnd"/>
      <w:r>
        <w:rPr>
          <w:sz w:val="28"/>
          <w:szCs w:val="28"/>
          <w:lang w:val="en-US"/>
        </w:rPr>
        <w:t xml:space="preserve"> Matos M., Bento Gouveia J. Digital adoption in transition economies: a panel study // Journal of International Economics. – 2022. – Vol. 138. – pp. 56–78.</w:t>
      </w:r>
    </w:p>
    <w:p w:rsidR="009204AB" w:rsidRPr="009204AB" w:rsidRDefault="009204AB">
      <w:pPr>
        <w:pStyle w:val="a3"/>
        <w:numPr>
          <w:ilvl w:val="0"/>
          <w:numId w:val="3"/>
        </w:numPr>
        <w:spacing w:before="0" w:beforeAutospacing="0" w:after="0" w:afterAutospacing="0" w:line="360" w:lineRule="auto"/>
        <w:ind w:left="0" w:firstLine="567"/>
        <w:jc w:val="both"/>
        <w:rPr>
          <w:lang w:val="en-US"/>
        </w:rPr>
      </w:pPr>
      <w:r>
        <w:rPr>
          <w:sz w:val="28"/>
          <w:szCs w:val="28"/>
          <w:lang w:val="en-US"/>
        </w:rPr>
        <w:t>Matt C., Hess T., Benlian A. Digital transformation strategies // Business &amp; Information Systems Engineering. – 2015. – Vol. 57, no. 5. – pp. 220–236.</w:t>
      </w:r>
    </w:p>
    <w:p w:rsidR="009204AB" w:rsidRDefault="009204AB">
      <w:pPr>
        <w:pStyle w:val="a3"/>
        <w:numPr>
          <w:ilvl w:val="0"/>
          <w:numId w:val="3"/>
        </w:numPr>
        <w:spacing w:before="0" w:beforeAutospacing="0" w:after="0" w:afterAutospacing="0" w:line="360" w:lineRule="auto"/>
        <w:ind w:left="0" w:firstLine="567"/>
        <w:jc w:val="both"/>
      </w:pPr>
      <w:r>
        <w:rPr>
          <w:sz w:val="28"/>
          <w:szCs w:val="28"/>
          <w:lang w:val="en-US"/>
        </w:rPr>
        <w:t>OECD. OECD Science, Technology and Industry Scoreboard 2023. Paris: OECD Publishing. – 2023. – 208 p.</w:t>
      </w:r>
    </w:p>
    <w:p w:rsidR="009204AB" w:rsidRPr="009204AB" w:rsidRDefault="009204AB">
      <w:pPr>
        <w:pStyle w:val="a3"/>
        <w:numPr>
          <w:ilvl w:val="0"/>
          <w:numId w:val="3"/>
        </w:numPr>
        <w:spacing w:before="0" w:beforeAutospacing="0" w:after="0" w:afterAutospacing="0" w:line="360" w:lineRule="auto"/>
        <w:ind w:left="0" w:firstLine="567"/>
        <w:jc w:val="both"/>
        <w:rPr>
          <w:lang w:val="en-US"/>
        </w:rPr>
      </w:pPr>
      <w:proofErr w:type="spellStart"/>
      <w:r>
        <w:rPr>
          <w:sz w:val="28"/>
          <w:szCs w:val="28"/>
          <w:lang w:val="en-US"/>
        </w:rPr>
        <w:t>Rosstat</w:t>
      </w:r>
      <w:proofErr w:type="spellEnd"/>
      <w:r>
        <w:rPr>
          <w:sz w:val="28"/>
          <w:szCs w:val="28"/>
          <w:lang w:val="en-US"/>
        </w:rPr>
        <w:t>. [Digital economy in Russia: statistical digest]. Moscow: Rosstat Publ. – 2024. – 145 p. (In Russ.)</w:t>
      </w:r>
    </w:p>
    <w:p w:rsidR="009204AB" w:rsidRPr="009204AB" w:rsidRDefault="009204AB">
      <w:pPr>
        <w:pStyle w:val="a3"/>
        <w:numPr>
          <w:ilvl w:val="0"/>
          <w:numId w:val="3"/>
        </w:numPr>
        <w:spacing w:before="0" w:beforeAutospacing="0" w:after="0" w:afterAutospacing="0" w:line="360" w:lineRule="auto"/>
        <w:ind w:left="0" w:firstLine="567"/>
        <w:jc w:val="both"/>
        <w:rPr>
          <w:lang w:val="en-US"/>
        </w:rPr>
      </w:pPr>
      <w:r>
        <w:rPr>
          <w:sz w:val="28"/>
          <w:szCs w:val="28"/>
          <w:lang w:val="en-US"/>
        </w:rPr>
        <w:lastRenderedPageBreak/>
        <w:t>Wooldridge J.M. Econometric Analysis of Cross Section and Panel Data. 2nd ed. Cambridge: MIT Press. – 2010. – 1064 p.</w:t>
      </w:r>
    </w:p>
    <w:bookmarkEnd w:id="0"/>
    <w:p w:rsidR="008B2482" w:rsidRPr="009204AB" w:rsidRDefault="008B2482">
      <w:pPr>
        <w:pStyle w:val="a3"/>
        <w:spacing w:before="0" w:beforeAutospacing="0" w:after="0" w:afterAutospacing="0" w:line="360" w:lineRule="auto"/>
        <w:ind w:firstLine="567"/>
        <w:jc w:val="both"/>
        <w:rPr>
          <w:lang w:val="en-US"/>
        </w:rPr>
      </w:pPr>
    </w:p>
    <w:p w:rsidR="008B2482" w:rsidRPr="009204AB" w:rsidRDefault="008B2482">
      <w:pPr>
        <w:spacing w:after="0" w:line="360" w:lineRule="auto"/>
        <w:ind w:firstLine="567"/>
        <w:jc w:val="both"/>
        <w:rPr>
          <w:lang w:val="en-US"/>
        </w:rPr>
      </w:pPr>
    </w:p>
    <w:sectPr w:rsidR="008B2482" w:rsidRPr="009204A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5A" w:rsidRDefault="00CE005A" w:rsidP="0072153F">
      <w:pPr>
        <w:spacing w:after="0" w:line="240" w:lineRule="auto"/>
      </w:pPr>
      <w:r>
        <w:separator/>
      </w:r>
    </w:p>
  </w:endnote>
  <w:endnote w:type="continuationSeparator" w:id="0">
    <w:p w:rsidR="00CE005A" w:rsidRDefault="00CE005A" w:rsidP="007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5A" w:rsidRDefault="00CE005A" w:rsidP="0072153F">
      <w:pPr>
        <w:spacing w:after="0" w:line="240" w:lineRule="auto"/>
      </w:pPr>
      <w:r>
        <w:separator/>
      </w:r>
    </w:p>
  </w:footnote>
  <w:footnote w:type="continuationSeparator" w:id="0">
    <w:p w:rsidR="00CE005A" w:rsidRDefault="00CE005A" w:rsidP="00721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29AE"/>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647BF"/>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63FCE"/>
    <w:multiLevelType w:val="hybridMultilevel"/>
    <w:tmpl w:val="EE885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F"/>
    <w:rsid w:val="0004003B"/>
    <w:rsid w:val="00092828"/>
    <w:rsid w:val="0009389A"/>
    <w:rsid w:val="000A6015"/>
    <w:rsid w:val="00101737"/>
    <w:rsid w:val="00113985"/>
    <w:rsid w:val="0014524E"/>
    <w:rsid w:val="00151215"/>
    <w:rsid w:val="00165C7C"/>
    <w:rsid w:val="0017264F"/>
    <w:rsid w:val="001A7699"/>
    <w:rsid w:val="002201D7"/>
    <w:rsid w:val="00221F0D"/>
    <w:rsid w:val="00256BD5"/>
    <w:rsid w:val="002643AF"/>
    <w:rsid w:val="00273340"/>
    <w:rsid w:val="00287C4F"/>
    <w:rsid w:val="002D245D"/>
    <w:rsid w:val="002D6583"/>
    <w:rsid w:val="00312244"/>
    <w:rsid w:val="003408B7"/>
    <w:rsid w:val="003647DE"/>
    <w:rsid w:val="003E170A"/>
    <w:rsid w:val="003E5264"/>
    <w:rsid w:val="003F64A7"/>
    <w:rsid w:val="004470FA"/>
    <w:rsid w:val="00495577"/>
    <w:rsid w:val="00533893"/>
    <w:rsid w:val="005414AB"/>
    <w:rsid w:val="00550EF4"/>
    <w:rsid w:val="00553E19"/>
    <w:rsid w:val="00572407"/>
    <w:rsid w:val="00597F6F"/>
    <w:rsid w:val="005A0FCF"/>
    <w:rsid w:val="005A55AD"/>
    <w:rsid w:val="005F2660"/>
    <w:rsid w:val="00605990"/>
    <w:rsid w:val="006340C2"/>
    <w:rsid w:val="00646555"/>
    <w:rsid w:val="00650DFC"/>
    <w:rsid w:val="00667C08"/>
    <w:rsid w:val="00674D11"/>
    <w:rsid w:val="0068543B"/>
    <w:rsid w:val="006A46BF"/>
    <w:rsid w:val="006C3415"/>
    <w:rsid w:val="0072153F"/>
    <w:rsid w:val="00735ADA"/>
    <w:rsid w:val="00780309"/>
    <w:rsid w:val="00790D62"/>
    <w:rsid w:val="007E0BFE"/>
    <w:rsid w:val="007F0AEB"/>
    <w:rsid w:val="008202D6"/>
    <w:rsid w:val="0085057A"/>
    <w:rsid w:val="00850A2E"/>
    <w:rsid w:val="008946B6"/>
    <w:rsid w:val="008B2482"/>
    <w:rsid w:val="008D1FC2"/>
    <w:rsid w:val="008D64B4"/>
    <w:rsid w:val="009204AB"/>
    <w:rsid w:val="00922A1B"/>
    <w:rsid w:val="00946981"/>
    <w:rsid w:val="009523FF"/>
    <w:rsid w:val="009B7733"/>
    <w:rsid w:val="009C2BD9"/>
    <w:rsid w:val="00A06D28"/>
    <w:rsid w:val="00AC2E61"/>
    <w:rsid w:val="00AF1D73"/>
    <w:rsid w:val="00AF324E"/>
    <w:rsid w:val="00B25146"/>
    <w:rsid w:val="00B44A8C"/>
    <w:rsid w:val="00B4704B"/>
    <w:rsid w:val="00B57E92"/>
    <w:rsid w:val="00B61EC1"/>
    <w:rsid w:val="00B96E3F"/>
    <w:rsid w:val="00BA0001"/>
    <w:rsid w:val="00BB7777"/>
    <w:rsid w:val="00C258FC"/>
    <w:rsid w:val="00C40501"/>
    <w:rsid w:val="00C62C75"/>
    <w:rsid w:val="00C82BE0"/>
    <w:rsid w:val="00CE005A"/>
    <w:rsid w:val="00D26FB3"/>
    <w:rsid w:val="00D82DF8"/>
    <w:rsid w:val="00D9395C"/>
    <w:rsid w:val="00D96060"/>
    <w:rsid w:val="00DE74A0"/>
    <w:rsid w:val="00E17DCF"/>
    <w:rsid w:val="00E24DE3"/>
    <w:rsid w:val="00E33732"/>
    <w:rsid w:val="00E3588A"/>
    <w:rsid w:val="00E5783E"/>
    <w:rsid w:val="00E57855"/>
    <w:rsid w:val="00E672B9"/>
    <w:rsid w:val="00EA5B65"/>
    <w:rsid w:val="00EB32C2"/>
    <w:rsid w:val="00EE624A"/>
    <w:rsid w:val="00F20382"/>
    <w:rsid w:val="00F44D0D"/>
    <w:rsid w:val="00F54D2D"/>
    <w:rsid w:val="00F86B5A"/>
    <w:rsid w:val="00FA1D3E"/>
    <w:rsid w:val="00FA4181"/>
    <w:rsid w:val="00FC3B43"/>
    <w:rsid w:val="00FC401F"/>
    <w:rsid w:val="00FD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6</Pages>
  <Words>1213</Words>
  <Characters>6918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Rew1</cp:lastModifiedBy>
  <cp:revision>18</cp:revision>
  <dcterms:created xsi:type="dcterms:W3CDTF">2026-05-07T12:16:00Z</dcterms:created>
  <dcterms:modified xsi:type="dcterms:W3CDTF">2026-05-27T14:31:00Z</dcterms:modified>
</cp:coreProperties>
</file>